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567103">
        <w:rPr>
          <w:sz w:val="24"/>
          <w:szCs w:val="24"/>
        </w:rPr>
        <w:t>138 - 16</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E40511">
        <w:rPr>
          <w:sz w:val="24"/>
          <w:szCs w:val="24"/>
        </w:rPr>
        <w:t>Morten Braut</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9B4964">
        <w:rPr>
          <w:sz w:val="24"/>
          <w:szCs w:val="24"/>
        </w:rPr>
        <w:t>25</w:t>
      </w:r>
      <w:r w:rsidR="00AF3325">
        <w:rPr>
          <w:sz w:val="24"/>
          <w:szCs w:val="24"/>
        </w:rPr>
        <w:t>.</w:t>
      </w:r>
      <w:r w:rsidR="009B4964">
        <w:rPr>
          <w:sz w:val="24"/>
          <w:szCs w:val="24"/>
        </w:rPr>
        <w:t>10</w:t>
      </w:r>
      <w:r w:rsidR="00AF3325">
        <w:rPr>
          <w:sz w:val="24"/>
          <w:szCs w:val="24"/>
        </w:rPr>
        <w:t>.2016</w:t>
      </w:r>
    </w:p>
    <w:p w:rsidR="00425C04" w:rsidRDefault="00425C04">
      <w:pPr>
        <w:rPr>
          <w:b/>
          <w:sz w:val="28"/>
          <w:szCs w:val="28"/>
          <w:u w:val="single"/>
        </w:rPr>
      </w:pPr>
    </w:p>
    <w:p w:rsidR="00720FD8" w:rsidRPr="00E40511" w:rsidRDefault="00E40511">
      <w:pPr>
        <w:rPr>
          <w:sz w:val="28"/>
          <w:szCs w:val="28"/>
        </w:rPr>
      </w:pPr>
      <w:r w:rsidRPr="00E40511">
        <w:rPr>
          <w:b/>
          <w:sz w:val="28"/>
          <w:szCs w:val="28"/>
          <w:u w:val="single"/>
        </w:rPr>
        <w:t>K0</w:t>
      </w:r>
      <w:r>
        <w:rPr>
          <w:b/>
          <w:sz w:val="28"/>
          <w:szCs w:val="28"/>
          <w:u w:val="single"/>
        </w:rPr>
        <w:t>-</w:t>
      </w:r>
      <w:r w:rsidRPr="00E40511">
        <w:rPr>
          <w:b/>
          <w:sz w:val="28"/>
          <w:szCs w:val="28"/>
          <w:u w:val="single"/>
        </w:rPr>
        <w:t xml:space="preserve">byggeprogram for </w:t>
      </w:r>
      <w:r w:rsidR="001E2AD4">
        <w:rPr>
          <w:b/>
          <w:sz w:val="28"/>
          <w:szCs w:val="28"/>
          <w:u w:val="single"/>
        </w:rPr>
        <w:t>pnr. 30002, ny K20-</w:t>
      </w:r>
      <w:r w:rsidR="009B4964">
        <w:rPr>
          <w:b/>
          <w:sz w:val="28"/>
          <w:szCs w:val="28"/>
          <w:u w:val="single"/>
        </w:rPr>
        <w:t xml:space="preserve">skole på Figgjo. </w:t>
      </w:r>
      <w:r w:rsidRPr="00E40511">
        <w:rPr>
          <w:b/>
          <w:sz w:val="28"/>
          <w:szCs w:val="28"/>
          <w:u w:val="single"/>
        </w:rPr>
        <w:t xml:space="preserve"> </w:t>
      </w:r>
      <w:r w:rsidRPr="00E40511">
        <w:rPr>
          <w:sz w:val="28"/>
          <w:szCs w:val="28"/>
        </w:rPr>
        <w:t xml:space="preserve"> </w:t>
      </w:r>
    </w:p>
    <w:p w:rsidR="00B107B7" w:rsidRDefault="00265A6A">
      <w:pPr>
        <w:rPr>
          <w:b/>
          <w:sz w:val="28"/>
          <w:szCs w:val="28"/>
          <w:u w:val="single"/>
        </w:rPr>
      </w:pPr>
      <w:r>
        <w:rPr>
          <w:b/>
          <w:sz w:val="28"/>
          <w:szCs w:val="28"/>
          <w:u w:val="single"/>
        </w:rPr>
        <w:t>Bakgrunn for saken:</w:t>
      </w:r>
    </w:p>
    <w:p w:rsidR="00431A34" w:rsidRPr="00F2035E" w:rsidRDefault="00E40511">
      <w:pPr>
        <w:rPr>
          <w:sz w:val="24"/>
          <w:szCs w:val="24"/>
        </w:rPr>
      </w:pPr>
      <w:r w:rsidRPr="00F2035E">
        <w:rPr>
          <w:sz w:val="24"/>
          <w:szCs w:val="24"/>
        </w:rPr>
        <w:t xml:space="preserve">I Bystyrets behandling av økonomiplan 2016-2019, ble det vedtatt å avsette midler til </w:t>
      </w:r>
      <w:r w:rsidR="009B4964">
        <w:rPr>
          <w:sz w:val="24"/>
          <w:szCs w:val="24"/>
        </w:rPr>
        <w:t>ny K20 skole på Figgjo</w:t>
      </w:r>
      <w:r w:rsidR="00883B69" w:rsidRPr="00F2035E">
        <w:rPr>
          <w:sz w:val="24"/>
          <w:szCs w:val="24"/>
        </w:rPr>
        <w:t>.</w:t>
      </w:r>
      <w:r w:rsidR="009B4964">
        <w:rPr>
          <w:sz w:val="24"/>
          <w:szCs w:val="24"/>
        </w:rPr>
        <w:t xml:space="preserve"> </w:t>
      </w:r>
      <w:r w:rsidR="00883B69" w:rsidRPr="00F2035E">
        <w:rPr>
          <w:sz w:val="24"/>
          <w:szCs w:val="24"/>
        </w:rPr>
        <w:t>Prosjektnummer</w:t>
      </w:r>
      <w:r w:rsidRPr="00F2035E">
        <w:rPr>
          <w:sz w:val="24"/>
          <w:szCs w:val="24"/>
        </w:rPr>
        <w:t xml:space="preserve"> 3</w:t>
      </w:r>
      <w:r w:rsidR="009B4964">
        <w:rPr>
          <w:sz w:val="24"/>
          <w:szCs w:val="24"/>
        </w:rPr>
        <w:t>0002</w:t>
      </w:r>
      <w:r w:rsidRPr="00F2035E">
        <w:rPr>
          <w:sz w:val="24"/>
          <w:szCs w:val="24"/>
        </w:rPr>
        <w:t>.</w:t>
      </w:r>
      <w:r w:rsidR="0034412E" w:rsidRPr="00F2035E">
        <w:rPr>
          <w:sz w:val="24"/>
          <w:szCs w:val="24"/>
        </w:rPr>
        <w:t xml:space="preserve"> </w:t>
      </w:r>
    </w:p>
    <w:tbl>
      <w:tblPr>
        <w:tblW w:w="8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560"/>
        <w:gridCol w:w="1764"/>
        <w:gridCol w:w="709"/>
        <w:gridCol w:w="709"/>
        <w:gridCol w:w="709"/>
        <w:gridCol w:w="787"/>
      </w:tblGrid>
      <w:tr w:rsidR="009B4964" w:rsidRPr="000235FD" w:rsidTr="009B4964">
        <w:trPr>
          <w:cantSplit/>
        </w:trPr>
        <w:tc>
          <w:tcPr>
            <w:tcW w:w="2338" w:type="dxa"/>
          </w:tcPr>
          <w:p w:rsidR="009B4964" w:rsidRPr="000235FD" w:rsidRDefault="009B4964" w:rsidP="00FC658E">
            <w:pPr>
              <w:jc w:val="center"/>
              <w:rPr>
                <w:b/>
              </w:rPr>
            </w:pPr>
            <w:r w:rsidRPr="000235FD">
              <w:rPr>
                <w:b/>
              </w:rPr>
              <w:t>Prosjekt</w:t>
            </w:r>
          </w:p>
        </w:tc>
        <w:tc>
          <w:tcPr>
            <w:tcW w:w="1560" w:type="dxa"/>
          </w:tcPr>
          <w:p w:rsidR="009B4964" w:rsidRPr="000235FD" w:rsidRDefault="009B4964" w:rsidP="00FC658E">
            <w:pPr>
              <w:jc w:val="center"/>
              <w:rPr>
                <w:b/>
              </w:rPr>
            </w:pPr>
            <w:r w:rsidRPr="000235FD">
              <w:rPr>
                <w:b/>
              </w:rPr>
              <w:t>Budsjett</w:t>
            </w:r>
          </w:p>
        </w:tc>
        <w:tc>
          <w:tcPr>
            <w:tcW w:w="1764" w:type="dxa"/>
          </w:tcPr>
          <w:p w:rsidR="009B4964" w:rsidRPr="000235FD" w:rsidRDefault="009B4964" w:rsidP="00FC658E">
            <w:pPr>
              <w:jc w:val="center"/>
              <w:rPr>
                <w:b/>
              </w:rPr>
            </w:pPr>
            <w:r w:rsidRPr="000235FD">
              <w:rPr>
                <w:b/>
              </w:rPr>
              <w:t xml:space="preserve">Bevilget </w:t>
            </w:r>
            <w:r>
              <w:rPr>
                <w:b/>
              </w:rPr>
              <w:t>i økonomiplan 2016-2019</w:t>
            </w:r>
          </w:p>
        </w:tc>
        <w:tc>
          <w:tcPr>
            <w:tcW w:w="709" w:type="dxa"/>
          </w:tcPr>
          <w:p w:rsidR="009B4964" w:rsidRPr="000235FD" w:rsidRDefault="009B4964" w:rsidP="00FC658E">
            <w:pPr>
              <w:jc w:val="center"/>
              <w:rPr>
                <w:b/>
              </w:rPr>
            </w:pPr>
            <w:r>
              <w:rPr>
                <w:b/>
              </w:rPr>
              <w:t>Bevilget før</w:t>
            </w:r>
          </w:p>
        </w:tc>
        <w:tc>
          <w:tcPr>
            <w:tcW w:w="709" w:type="dxa"/>
          </w:tcPr>
          <w:p w:rsidR="009B4964" w:rsidRPr="000235FD" w:rsidRDefault="009B4964" w:rsidP="00FC658E">
            <w:pPr>
              <w:jc w:val="center"/>
              <w:rPr>
                <w:b/>
              </w:rPr>
            </w:pPr>
            <w:r w:rsidRPr="000235FD">
              <w:rPr>
                <w:b/>
              </w:rPr>
              <w:t>201</w:t>
            </w:r>
            <w:r>
              <w:rPr>
                <w:b/>
              </w:rPr>
              <w:t>6</w:t>
            </w:r>
          </w:p>
        </w:tc>
        <w:tc>
          <w:tcPr>
            <w:tcW w:w="709" w:type="dxa"/>
          </w:tcPr>
          <w:p w:rsidR="009B4964" w:rsidRPr="000235FD" w:rsidRDefault="009B4964" w:rsidP="00FC658E">
            <w:pPr>
              <w:jc w:val="center"/>
              <w:rPr>
                <w:b/>
              </w:rPr>
            </w:pPr>
            <w:r w:rsidRPr="000235FD">
              <w:rPr>
                <w:b/>
              </w:rPr>
              <w:t>201</w:t>
            </w:r>
            <w:r>
              <w:rPr>
                <w:b/>
              </w:rPr>
              <w:t>7</w:t>
            </w:r>
          </w:p>
        </w:tc>
        <w:tc>
          <w:tcPr>
            <w:tcW w:w="787" w:type="dxa"/>
          </w:tcPr>
          <w:p w:rsidR="009B4964" w:rsidRPr="000235FD" w:rsidRDefault="009B4964" w:rsidP="00FC658E">
            <w:pPr>
              <w:jc w:val="center"/>
              <w:rPr>
                <w:b/>
              </w:rPr>
            </w:pPr>
            <w:r w:rsidRPr="000235FD">
              <w:rPr>
                <w:b/>
              </w:rPr>
              <w:t>201</w:t>
            </w:r>
            <w:r>
              <w:rPr>
                <w:b/>
              </w:rPr>
              <w:t>8</w:t>
            </w:r>
          </w:p>
        </w:tc>
      </w:tr>
      <w:tr w:rsidR="009B4964" w:rsidRPr="000235FD" w:rsidTr="009B4964">
        <w:trPr>
          <w:cantSplit/>
          <w:trHeight w:val="1768"/>
        </w:trPr>
        <w:tc>
          <w:tcPr>
            <w:tcW w:w="2338" w:type="dxa"/>
          </w:tcPr>
          <w:p w:rsidR="009B4964" w:rsidRPr="000235FD" w:rsidRDefault="009B4964" w:rsidP="00FC658E">
            <w:r>
              <w:t>Prosjektnummer: 30002</w:t>
            </w:r>
          </w:p>
          <w:p w:rsidR="009B4964" w:rsidRPr="000235FD" w:rsidRDefault="009B4964" w:rsidP="00FC658E">
            <w:r>
              <w:t>Ansvar:</w:t>
            </w:r>
            <w:r>
              <w:tab/>
              <w:t>30</w:t>
            </w:r>
          </w:p>
          <w:p w:rsidR="009B4964" w:rsidRPr="000235FD" w:rsidRDefault="009B4964" w:rsidP="001E2AD4">
            <w:r>
              <w:t>Tjeneste: 2222</w:t>
            </w:r>
          </w:p>
        </w:tc>
        <w:tc>
          <w:tcPr>
            <w:tcW w:w="1560" w:type="dxa"/>
          </w:tcPr>
          <w:p w:rsidR="001E2AD4" w:rsidRDefault="001E2AD4" w:rsidP="00FC658E">
            <w:pPr>
              <w:jc w:val="center"/>
            </w:pPr>
          </w:p>
          <w:p w:rsidR="009B4964" w:rsidRDefault="009B4964" w:rsidP="00FC658E">
            <w:pPr>
              <w:jc w:val="center"/>
            </w:pPr>
            <w:r>
              <w:t xml:space="preserve">288 </w:t>
            </w:r>
            <w:r w:rsidRPr="000235FD">
              <w:t>MNOK</w:t>
            </w:r>
          </w:p>
          <w:p w:rsidR="009B4964" w:rsidRPr="000235FD" w:rsidRDefault="009B4964" w:rsidP="00FC658E"/>
        </w:tc>
        <w:tc>
          <w:tcPr>
            <w:tcW w:w="1764" w:type="dxa"/>
          </w:tcPr>
          <w:p w:rsidR="001E2AD4" w:rsidRDefault="001E2AD4" w:rsidP="009B4964">
            <w:pPr>
              <w:jc w:val="center"/>
            </w:pPr>
          </w:p>
          <w:p w:rsidR="009B4964" w:rsidRPr="000235FD" w:rsidRDefault="009B4964" w:rsidP="009B4964">
            <w:pPr>
              <w:jc w:val="center"/>
            </w:pPr>
            <w:r>
              <w:t>288 MNOK</w:t>
            </w:r>
          </w:p>
        </w:tc>
        <w:tc>
          <w:tcPr>
            <w:tcW w:w="709" w:type="dxa"/>
          </w:tcPr>
          <w:p w:rsidR="001E2AD4" w:rsidRDefault="001E2AD4" w:rsidP="00FC658E">
            <w:pPr>
              <w:jc w:val="center"/>
            </w:pPr>
          </w:p>
          <w:p w:rsidR="009B4964" w:rsidRPr="000235FD" w:rsidRDefault="009B4964" w:rsidP="00FC658E">
            <w:pPr>
              <w:jc w:val="center"/>
            </w:pPr>
            <w:r>
              <w:t>2</w:t>
            </w:r>
          </w:p>
        </w:tc>
        <w:tc>
          <w:tcPr>
            <w:tcW w:w="709" w:type="dxa"/>
          </w:tcPr>
          <w:p w:rsidR="001E2AD4" w:rsidRDefault="001E2AD4" w:rsidP="00FC658E">
            <w:pPr>
              <w:jc w:val="center"/>
            </w:pPr>
          </w:p>
          <w:p w:rsidR="009B4964" w:rsidRPr="000235FD" w:rsidRDefault="009B4964" w:rsidP="00FC658E">
            <w:pPr>
              <w:jc w:val="center"/>
            </w:pPr>
            <w:r>
              <w:t>44</w:t>
            </w:r>
          </w:p>
        </w:tc>
        <w:tc>
          <w:tcPr>
            <w:tcW w:w="709" w:type="dxa"/>
          </w:tcPr>
          <w:p w:rsidR="001E2AD4" w:rsidRDefault="001E2AD4" w:rsidP="00FC658E">
            <w:pPr>
              <w:jc w:val="center"/>
            </w:pPr>
          </w:p>
          <w:p w:rsidR="009B4964" w:rsidRPr="000235FD" w:rsidRDefault="009B4964" w:rsidP="00FC658E">
            <w:pPr>
              <w:jc w:val="center"/>
            </w:pPr>
            <w:r>
              <w:t>126</w:t>
            </w:r>
          </w:p>
        </w:tc>
        <w:tc>
          <w:tcPr>
            <w:tcW w:w="787" w:type="dxa"/>
          </w:tcPr>
          <w:p w:rsidR="001E2AD4" w:rsidRDefault="001E2AD4" w:rsidP="00FC658E">
            <w:pPr>
              <w:jc w:val="center"/>
            </w:pPr>
          </w:p>
          <w:p w:rsidR="009B4964" w:rsidRPr="000235FD" w:rsidRDefault="009B4964" w:rsidP="00FC658E">
            <w:pPr>
              <w:jc w:val="center"/>
            </w:pPr>
            <w:r>
              <w:t>116</w:t>
            </w:r>
          </w:p>
        </w:tc>
      </w:tr>
    </w:tbl>
    <w:p w:rsidR="00E40511" w:rsidRDefault="00E40511" w:rsidP="00B30221">
      <w:pPr>
        <w:rPr>
          <w:b/>
          <w:sz w:val="28"/>
          <w:szCs w:val="28"/>
          <w:u w:val="single"/>
        </w:rPr>
      </w:pPr>
    </w:p>
    <w:p w:rsidR="00720FD8" w:rsidRDefault="00265A6A" w:rsidP="00B30221">
      <w:pPr>
        <w:rPr>
          <w:b/>
          <w:sz w:val="28"/>
          <w:szCs w:val="28"/>
          <w:u w:val="single"/>
        </w:rPr>
      </w:pPr>
      <w:r>
        <w:rPr>
          <w:b/>
          <w:sz w:val="28"/>
          <w:szCs w:val="28"/>
          <w:u w:val="single"/>
        </w:rPr>
        <w:t>Saksopplysninger:</w:t>
      </w:r>
    </w:p>
    <w:p w:rsidR="00CC57BC" w:rsidRDefault="00CC57BC" w:rsidP="00CC57BC">
      <w:r>
        <w:rPr>
          <w:sz w:val="24"/>
          <w:szCs w:val="24"/>
        </w:rPr>
        <w:t xml:space="preserve">Skolebehovsplanen 2016-2019 vedtatt i Bystyret sak 42/15, dato 19.05.2015, sier at det skal bygges en K20 skole på Figgjo. </w:t>
      </w:r>
      <w:r>
        <w:t>Prosjektet skal stå ferdig til skolestart 2018.</w:t>
      </w:r>
    </w:p>
    <w:p w:rsidR="00CC57BC" w:rsidRDefault="00E40511" w:rsidP="00E40511">
      <w:r>
        <w:t xml:space="preserve">I BS-sak </w:t>
      </w:r>
      <w:r w:rsidR="00F704A2">
        <w:t xml:space="preserve">119/15, </w:t>
      </w:r>
      <w:r>
        <w:t>ØP2016-2019</w:t>
      </w:r>
      <w:r w:rsidR="00F704A2">
        <w:t>,</w:t>
      </w:r>
      <w:r>
        <w:t xml:space="preserve"> </w:t>
      </w:r>
      <w:r w:rsidR="00F704A2">
        <w:t xml:space="preserve">har Bystyret </w:t>
      </w:r>
      <w:r w:rsidR="00CC57BC">
        <w:t xml:space="preserve">satt av midler til </w:t>
      </w:r>
      <w:r>
        <w:t xml:space="preserve">å bygge </w:t>
      </w:r>
      <w:r w:rsidR="009B4964">
        <w:t xml:space="preserve">ny K20 skole på Figgjo. </w:t>
      </w:r>
    </w:p>
    <w:p w:rsidR="009B4964" w:rsidRDefault="00E86204" w:rsidP="00E40511">
      <w:r>
        <w:t>BS-sak 86/16</w:t>
      </w:r>
      <w:r w:rsidR="00CC57BC">
        <w:t>,</w:t>
      </w:r>
      <w:r>
        <w:t xml:space="preserve"> Funksjons- og arealprogram for formålsbygg</w:t>
      </w:r>
      <w:r w:rsidR="00CC57BC">
        <w:t>,</w:t>
      </w:r>
      <w:r w:rsidR="001E2AD4">
        <w:t xml:space="preserve"> er </w:t>
      </w:r>
      <w:r>
        <w:t>lagt til grunn for romprogrammet på Figgjo skole</w:t>
      </w:r>
      <w:r w:rsidR="001E2AD4">
        <w:t xml:space="preserve"> som nå legges fram for behandling</w:t>
      </w:r>
      <w:r>
        <w:t>.</w:t>
      </w:r>
    </w:p>
    <w:p w:rsidR="00CC57BC" w:rsidRPr="00A948A7" w:rsidRDefault="001E2AD4" w:rsidP="00CC57BC">
      <w:pPr>
        <w:rPr>
          <w:b/>
          <w:bCs/>
        </w:rPr>
      </w:pPr>
      <w:r>
        <w:t xml:space="preserve">En har ved utforming av romprogram for ny skole </w:t>
      </w:r>
      <w:r w:rsidR="00CC57BC">
        <w:t>også sett på Kulturarenaplan 2014-2020.</w:t>
      </w:r>
    </w:p>
    <w:p w:rsidR="00E40511" w:rsidRDefault="00141B1D" w:rsidP="00E40511">
      <w:r>
        <w:t xml:space="preserve">Det er oppnevnt en byggeprogramkomite` som har </w:t>
      </w:r>
      <w:r w:rsidR="00E40511">
        <w:t xml:space="preserve">utarbeidet romprogram </w:t>
      </w:r>
      <w:r>
        <w:t xml:space="preserve">for prosjektet. </w:t>
      </w:r>
    </w:p>
    <w:p w:rsidR="00E40511" w:rsidRPr="00141B1D" w:rsidRDefault="00E40511" w:rsidP="00E40511">
      <w:pPr>
        <w:rPr>
          <w:b/>
          <w:u w:val="single"/>
        </w:rPr>
      </w:pPr>
      <w:r w:rsidRPr="00141B1D">
        <w:rPr>
          <w:b/>
          <w:u w:val="single"/>
        </w:rPr>
        <w:lastRenderedPageBreak/>
        <w:t>Byggeprogramkomité</w:t>
      </w:r>
    </w:p>
    <w:p w:rsidR="00E40511" w:rsidRPr="009B14FD" w:rsidRDefault="00E86204" w:rsidP="00141B1D">
      <w:pPr>
        <w:spacing w:line="240" w:lineRule="auto"/>
      </w:pPr>
      <w:r>
        <w:t xml:space="preserve">Richard Olsen </w:t>
      </w:r>
      <w:r w:rsidR="00E40511" w:rsidRPr="009B14FD">
        <w:tab/>
      </w:r>
      <w:r w:rsidR="00E40511" w:rsidRPr="009B14FD">
        <w:tab/>
        <w:t>Fagstab Levekår</w:t>
      </w:r>
    </w:p>
    <w:p w:rsidR="00E40511" w:rsidRDefault="00E40511" w:rsidP="00141B1D">
      <w:pPr>
        <w:spacing w:line="240" w:lineRule="auto"/>
      </w:pPr>
      <w:r>
        <w:t xml:space="preserve">Morten Braut </w:t>
      </w:r>
      <w:r w:rsidR="00141B1D">
        <w:tab/>
      </w:r>
      <w:r w:rsidR="00141B1D">
        <w:tab/>
      </w:r>
      <w:r w:rsidRPr="009B14FD">
        <w:t>Prosjektleder, S</w:t>
      </w:r>
      <w:r>
        <w:t>andnes Eiendom</w:t>
      </w:r>
      <w:r w:rsidR="00CC57BC">
        <w:t xml:space="preserve">sselskap </w:t>
      </w:r>
      <w:r w:rsidRPr="009B14FD">
        <w:t xml:space="preserve">KF  </w:t>
      </w:r>
    </w:p>
    <w:p w:rsidR="00CC57BC" w:rsidRDefault="00CC57BC" w:rsidP="00141B1D">
      <w:pPr>
        <w:spacing w:line="240" w:lineRule="auto"/>
      </w:pPr>
      <w:r>
        <w:t>Oddgeir Tørset</w:t>
      </w:r>
      <w:r>
        <w:tab/>
      </w:r>
      <w:r>
        <w:tab/>
        <w:t>Utviklingssjef, Sandnes Eiendomsselskap KF</w:t>
      </w:r>
    </w:p>
    <w:p w:rsidR="00E40511" w:rsidRDefault="00E86204" w:rsidP="00141B1D">
      <w:pPr>
        <w:spacing w:line="240" w:lineRule="auto"/>
      </w:pPr>
      <w:r>
        <w:t>Arild Skimmeland</w:t>
      </w:r>
      <w:r w:rsidR="00E40511">
        <w:tab/>
        <w:t>Hovedver</w:t>
      </w:r>
      <w:r w:rsidR="00141B1D">
        <w:t>n</w:t>
      </w:r>
      <w:r w:rsidR="00E40511">
        <w:t>eombud</w:t>
      </w:r>
    </w:p>
    <w:p w:rsidR="00CC57BC" w:rsidRDefault="00CC57BC" w:rsidP="00E40511">
      <w:pPr>
        <w:rPr>
          <w:u w:val="single"/>
        </w:rPr>
      </w:pPr>
    </w:p>
    <w:p w:rsidR="00E40511" w:rsidRDefault="00E40511" w:rsidP="00E40511">
      <w:pPr>
        <w:rPr>
          <w:u w:val="single"/>
        </w:rPr>
      </w:pPr>
      <w:r>
        <w:rPr>
          <w:u w:val="single"/>
        </w:rPr>
        <w:t>Romprogram</w:t>
      </w:r>
    </w:p>
    <w:p w:rsidR="00E86204" w:rsidRDefault="00E86204" w:rsidP="00E40511">
      <w:pPr>
        <w:rPr>
          <w:u w:val="single"/>
        </w:rPr>
      </w:pPr>
      <w:r>
        <w:t>Byggeprogrammet tar utgangspunktet i funksjons og arealprogrammet for formålsbygg.</w:t>
      </w:r>
      <w:r w:rsidR="00D3279F">
        <w:t xml:space="preserve"> </w:t>
      </w:r>
      <w:r w:rsidR="002A5615">
        <w:t xml:space="preserve">En K20 skole skal iht. areal- og funksjonsprogram for skolebygg tilrettelegges for 28 elever i hver klasse. For en K20 skole vil dette si 560 elever. Fagstab skole har vært usikker på elevtallsprognosene for Figgjo de neste årene, men mener det ikke vil være behov for å tilrettelegge for en fullverdig K20 skole og har foreslått å tilrettelegge en ny skole for 510 elever. Dette vil i så fall medføre reduksjon i areal på 10 kvm på 9 klasserom, totalt 90 kvm. </w:t>
      </w:r>
      <w:r w:rsidR="00012676">
        <w:t>En slik reduksjon er ikke tatt med i tabellen under.</w:t>
      </w:r>
    </w:p>
    <w:tbl>
      <w:tblPr>
        <w:tblW w:w="8540" w:type="dxa"/>
        <w:tblInd w:w="60" w:type="dxa"/>
        <w:tblCellMar>
          <w:left w:w="70" w:type="dxa"/>
          <w:right w:w="70" w:type="dxa"/>
        </w:tblCellMar>
        <w:tblLook w:val="04A0" w:firstRow="1" w:lastRow="0" w:firstColumn="1" w:lastColumn="0" w:noHBand="0" w:noVBand="1"/>
      </w:tblPr>
      <w:tblGrid>
        <w:gridCol w:w="2560"/>
        <w:gridCol w:w="300"/>
        <w:gridCol w:w="220"/>
        <w:gridCol w:w="700"/>
        <w:gridCol w:w="920"/>
        <w:gridCol w:w="30"/>
        <w:gridCol w:w="890"/>
        <w:gridCol w:w="60"/>
        <w:gridCol w:w="720"/>
        <w:gridCol w:w="2140"/>
      </w:tblGrid>
      <w:tr w:rsidR="00E86204" w:rsidRPr="00A948A7" w:rsidTr="00EF2DE0">
        <w:trPr>
          <w:trHeight w:val="330"/>
        </w:trPr>
        <w:tc>
          <w:tcPr>
            <w:tcW w:w="28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86204" w:rsidRPr="00A948A7" w:rsidRDefault="00E86204" w:rsidP="00EF2DE0">
            <w:pPr>
              <w:rPr>
                <w:rFonts w:ascii="Arial Narrow" w:hAnsi="Arial Narrow" w:cs="Arial"/>
                <w:b/>
                <w:bCs/>
              </w:rPr>
            </w:pPr>
            <w:r w:rsidRPr="00A948A7">
              <w:rPr>
                <w:rFonts w:ascii="Arial Narrow" w:hAnsi="Arial Narrow" w:cs="Arial"/>
                <w:b/>
                <w:bCs/>
              </w:rPr>
              <w:t>UNDERVISNINGSROM</w:t>
            </w:r>
          </w:p>
        </w:tc>
        <w:tc>
          <w:tcPr>
            <w:tcW w:w="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E86204" w:rsidRPr="00A948A7" w:rsidRDefault="00E86204" w:rsidP="00EF2DE0">
            <w:pPr>
              <w:jc w:val="center"/>
              <w:rPr>
                <w:rFonts w:ascii="Arial Narrow" w:hAnsi="Arial Narrow" w:cs="Arial"/>
                <w:b/>
                <w:bCs/>
                <w:sz w:val="20"/>
              </w:rPr>
            </w:pPr>
            <w:r w:rsidRPr="00A948A7">
              <w:rPr>
                <w:rFonts w:ascii="Arial Narrow" w:hAnsi="Arial Narrow" w:cs="Arial"/>
                <w:b/>
                <w:bCs/>
                <w:sz w:val="20"/>
              </w:rPr>
              <w:t xml:space="preserve">Ant. </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E86204" w:rsidRPr="00A948A7" w:rsidRDefault="00E86204" w:rsidP="00EF2DE0">
            <w:pPr>
              <w:jc w:val="center"/>
              <w:rPr>
                <w:rFonts w:ascii="Arial Narrow" w:hAnsi="Arial Narrow" w:cs="Arial"/>
                <w:b/>
                <w:bCs/>
                <w:sz w:val="20"/>
              </w:rPr>
            </w:pPr>
            <w:r w:rsidRPr="00A948A7">
              <w:rPr>
                <w:rFonts w:ascii="Arial Narrow" w:hAnsi="Arial Narrow" w:cs="Arial"/>
                <w:b/>
                <w:bCs/>
                <w:sz w:val="20"/>
              </w:rPr>
              <w:t>Pr. rom</w:t>
            </w:r>
          </w:p>
        </w:tc>
        <w:tc>
          <w:tcPr>
            <w:tcW w:w="920" w:type="dxa"/>
            <w:gridSpan w:val="2"/>
            <w:tcBorders>
              <w:top w:val="single" w:sz="8" w:space="0" w:color="auto"/>
              <w:left w:val="nil"/>
              <w:bottom w:val="single" w:sz="4" w:space="0" w:color="auto"/>
              <w:right w:val="single" w:sz="4" w:space="0" w:color="auto"/>
            </w:tcBorders>
            <w:shd w:val="clear" w:color="000000" w:fill="DBEEF3"/>
            <w:noWrap/>
            <w:vAlign w:val="bottom"/>
            <w:hideMark/>
          </w:tcPr>
          <w:p w:rsidR="00E86204" w:rsidRPr="00A948A7" w:rsidRDefault="00E86204" w:rsidP="00EF2DE0">
            <w:pPr>
              <w:jc w:val="center"/>
              <w:rPr>
                <w:rFonts w:ascii="Arial Narrow" w:hAnsi="Arial Narrow" w:cs="Arial"/>
                <w:b/>
                <w:bCs/>
                <w:sz w:val="20"/>
              </w:rPr>
            </w:pPr>
            <w:r w:rsidRPr="00A948A7">
              <w:rPr>
                <w:rFonts w:ascii="Arial Narrow" w:hAnsi="Arial Narrow" w:cs="Arial"/>
                <w:b/>
                <w:bCs/>
                <w:sz w:val="20"/>
              </w:rPr>
              <w:t>Tot.</w:t>
            </w:r>
          </w:p>
        </w:tc>
        <w:tc>
          <w:tcPr>
            <w:tcW w:w="2920" w:type="dxa"/>
            <w:gridSpan w:val="3"/>
            <w:tcBorders>
              <w:top w:val="single" w:sz="8" w:space="0" w:color="auto"/>
              <w:left w:val="nil"/>
              <w:bottom w:val="single" w:sz="4" w:space="0" w:color="auto"/>
              <w:right w:val="single" w:sz="8" w:space="0" w:color="auto"/>
            </w:tcBorders>
            <w:shd w:val="clear" w:color="auto" w:fill="auto"/>
            <w:vAlign w:val="bottom"/>
            <w:hideMark/>
          </w:tcPr>
          <w:p w:rsidR="00E86204" w:rsidRPr="00A948A7" w:rsidRDefault="00E86204" w:rsidP="00EF2DE0">
            <w:pPr>
              <w:rPr>
                <w:rFonts w:ascii="Arial Narrow" w:hAnsi="Arial Narrow" w:cs="Arial"/>
                <w:b/>
                <w:bCs/>
                <w:sz w:val="20"/>
              </w:rPr>
            </w:pPr>
            <w:r w:rsidRPr="00A948A7">
              <w:rPr>
                <w:rFonts w:ascii="Arial Narrow" w:hAnsi="Arial Narrow" w:cs="Arial"/>
                <w:b/>
                <w:bCs/>
                <w:sz w:val="20"/>
              </w:rPr>
              <w:t>Merknad</w:t>
            </w:r>
          </w:p>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86204" w:rsidRPr="00A948A7" w:rsidRDefault="00E86204" w:rsidP="00EF2DE0">
            <w:r w:rsidRPr="00A948A7">
              <w:t>Baserom</w:t>
            </w:r>
            <w:r>
              <w:t>/Klasserom 2.-10 klasse</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86204" w:rsidRPr="00A948A7" w:rsidRDefault="00E86204" w:rsidP="00EF2DE0">
            <w:pPr>
              <w:jc w:val="center"/>
            </w:pPr>
            <w:r>
              <w:t>18</w:t>
            </w:r>
            <w:r w:rsidR="00D3279F">
              <w:t xml:space="preserve"> (9/9)</w:t>
            </w:r>
          </w:p>
        </w:tc>
        <w:tc>
          <w:tcPr>
            <w:tcW w:w="920" w:type="dxa"/>
            <w:tcBorders>
              <w:top w:val="nil"/>
              <w:left w:val="nil"/>
              <w:bottom w:val="single" w:sz="4" w:space="0" w:color="auto"/>
              <w:right w:val="single" w:sz="4" w:space="0" w:color="auto"/>
            </w:tcBorders>
            <w:shd w:val="clear" w:color="auto" w:fill="auto"/>
            <w:noWrap/>
            <w:vAlign w:val="bottom"/>
            <w:hideMark/>
          </w:tcPr>
          <w:p w:rsidR="00E86204" w:rsidRPr="00A948A7" w:rsidRDefault="00E86204" w:rsidP="00012676">
            <w:pPr>
              <w:jc w:val="center"/>
            </w:pPr>
            <w:r w:rsidRPr="00A948A7">
              <w:t>70</w:t>
            </w:r>
          </w:p>
        </w:tc>
        <w:tc>
          <w:tcPr>
            <w:tcW w:w="920" w:type="dxa"/>
            <w:gridSpan w:val="2"/>
            <w:tcBorders>
              <w:top w:val="nil"/>
              <w:left w:val="nil"/>
              <w:bottom w:val="single" w:sz="4" w:space="0" w:color="auto"/>
              <w:right w:val="single" w:sz="4" w:space="0" w:color="auto"/>
            </w:tcBorders>
            <w:shd w:val="clear" w:color="000000" w:fill="DBEEF3"/>
            <w:noWrap/>
            <w:vAlign w:val="bottom"/>
            <w:hideMark/>
          </w:tcPr>
          <w:p w:rsidR="00E86204" w:rsidRPr="00A948A7" w:rsidRDefault="00CC57BC" w:rsidP="00012676">
            <w:pPr>
              <w:jc w:val="center"/>
            </w:pPr>
            <w:r>
              <w:t>1</w:t>
            </w:r>
            <w:r w:rsidR="00012676">
              <w:t>260</w:t>
            </w:r>
          </w:p>
        </w:tc>
        <w:tc>
          <w:tcPr>
            <w:tcW w:w="2920" w:type="dxa"/>
            <w:gridSpan w:val="3"/>
            <w:tcBorders>
              <w:top w:val="nil"/>
              <w:left w:val="nil"/>
              <w:bottom w:val="single" w:sz="4" w:space="0" w:color="auto"/>
              <w:right w:val="single" w:sz="8" w:space="0" w:color="auto"/>
            </w:tcBorders>
            <w:shd w:val="clear" w:color="auto" w:fill="auto"/>
            <w:vAlign w:val="bottom"/>
            <w:hideMark/>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Pr="00A948A7" w:rsidRDefault="00E86204" w:rsidP="00EF2DE0">
            <w:r>
              <w:t>6 åringer (=1.klasse)</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r>
              <w:t>2</w:t>
            </w:r>
          </w:p>
        </w:tc>
        <w:tc>
          <w:tcPr>
            <w:tcW w:w="920" w:type="dxa"/>
            <w:tcBorders>
              <w:top w:val="nil"/>
              <w:left w:val="nil"/>
              <w:bottom w:val="single" w:sz="4" w:space="0" w:color="auto"/>
              <w:right w:val="single" w:sz="4" w:space="0" w:color="auto"/>
            </w:tcBorders>
            <w:shd w:val="clear" w:color="auto" w:fill="auto"/>
            <w:noWrap/>
            <w:vAlign w:val="bottom"/>
          </w:tcPr>
          <w:p w:rsidR="00E86204" w:rsidRPr="00A948A7" w:rsidRDefault="00E86204" w:rsidP="00EF2DE0">
            <w:pPr>
              <w:jc w:val="center"/>
            </w:pPr>
            <w:r>
              <w:t>80</w:t>
            </w: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EF2DE0">
            <w:pPr>
              <w:jc w:val="center"/>
            </w:pPr>
            <w:r>
              <w:t>160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Valgfag</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EF2DE0">
            <w:pPr>
              <w:jc w:val="center"/>
            </w:pPr>
            <w:r>
              <w:t>50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SFO</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1976CB" w:rsidP="00EF2DE0">
            <w:pPr>
              <w:jc w:val="center"/>
            </w:pPr>
            <w:r>
              <w:t>8</w:t>
            </w:r>
            <w:r w:rsidR="00E86204">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Pr="00A948A7" w:rsidRDefault="00E86204" w:rsidP="00EF2DE0">
            <w:r>
              <w:t>Grupperom pr. baserom/Klasserom</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r>
              <w:t>20</w:t>
            </w:r>
          </w:p>
        </w:tc>
        <w:tc>
          <w:tcPr>
            <w:tcW w:w="920" w:type="dxa"/>
            <w:tcBorders>
              <w:top w:val="nil"/>
              <w:left w:val="nil"/>
              <w:bottom w:val="single" w:sz="4" w:space="0" w:color="auto"/>
              <w:right w:val="single" w:sz="4" w:space="0" w:color="auto"/>
            </w:tcBorders>
            <w:shd w:val="clear" w:color="auto" w:fill="auto"/>
            <w:noWrap/>
            <w:vAlign w:val="bottom"/>
          </w:tcPr>
          <w:p w:rsidR="00E86204" w:rsidRPr="00A948A7" w:rsidRDefault="00E86204" w:rsidP="00EF2DE0">
            <w:pPr>
              <w:jc w:val="center"/>
            </w:pPr>
            <w:r>
              <w:t>15</w:t>
            </w: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EF2DE0">
            <w:pPr>
              <w:jc w:val="center"/>
            </w:pPr>
            <w:r>
              <w:t>300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r>
              <w:t>15m2 pr. klasser</w:t>
            </w:r>
          </w:p>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Grupperom spesialundervisning</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1976CB" w:rsidP="00EF2DE0">
            <w:pPr>
              <w:jc w:val="center"/>
            </w:pPr>
            <w:r>
              <w:t>5</w:t>
            </w:r>
          </w:p>
        </w:tc>
        <w:tc>
          <w:tcPr>
            <w:tcW w:w="920" w:type="dxa"/>
            <w:tcBorders>
              <w:top w:val="nil"/>
              <w:left w:val="nil"/>
              <w:bottom w:val="single" w:sz="4" w:space="0" w:color="auto"/>
              <w:right w:val="single" w:sz="4" w:space="0" w:color="auto"/>
            </w:tcBorders>
            <w:shd w:val="clear" w:color="auto" w:fill="auto"/>
            <w:noWrap/>
            <w:vAlign w:val="bottom"/>
          </w:tcPr>
          <w:p w:rsidR="00E86204" w:rsidRDefault="001976CB" w:rsidP="001976CB">
            <w:pPr>
              <w:jc w:val="center"/>
            </w:pPr>
            <w:r>
              <w:t>15</w:t>
            </w: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1976CB" w:rsidP="001976CB">
            <w:pPr>
              <w:jc w:val="center"/>
            </w:pPr>
            <w:r>
              <w:t>75</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1976CB"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1976CB" w:rsidRDefault="001976CB" w:rsidP="00EF2DE0">
            <w:r>
              <w:t>Garderober og toalett 1-4</w:t>
            </w:r>
          </w:p>
        </w:tc>
        <w:tc>
          <w:tcPr>
            <w:tcW w:w="920" w:type="dxa"/>
            <w:gridSpan w:val="2"/>
            <w:tcBorders>
              <w:top w:val="nil"/>
              <w:left w:val="nil"/>
              <w:bottom w:val="single" w:sz="4" w:space="0" w:color="auto"/>
              <w:right w:val="single" w:sz="4" w:space="0" w:color="auto"/>
            </w:tcBorders>
            <w:shd w:val="clear" w:color="auto" w:fill="auto"/>
            <w:noWrap/>
            <w:vAlign w:val="bottom"/>
          </w:tcPr>
          <w:p w:rsidR="001976CB" w:rsidRDefault="001976CB" w:rsidP="00EF2DE0">
            <w:pPr>
              <w:jc w:val="center"/>
            </w:pPr>
            <w:r>
              <w:t>8</w:t>
            </w:r>
          </w:p>
        </w:tc>
        <w:tc>
          <w:tcPr>
            <w:tcW w:w="920" w:type="dxa"/>
            <w:tcBorders>
              <w:top w:val="nil"/>
              <w:left w:val="nil"/>
              <w:bottom w:val="single" w:sz="4" w:space="0" w:color="auto"/>
              <w:right w:val="single" w:sz="4" w:space="0" w:color="auto"/>
            </w:tcBorders>
            <w:shd w:val="clear" w:color="auto" w:fill="auto"/>
            <w:noWrap/>
            <w:vAlign w:val="bottom"/>
          </w:tcPr>
          <w:p w:rsidR="001976CB" w:rsidRDefault="001976CB" w:rsidP="001976CB">
            <w:pPr>
              <w:jc w:val="center"/>
            </w:pPr>
            <w:r>
              <w:t>20</w:t>
            </w:r>
          </w:p>
        </w:tc>
        <w:tc>
          <w:tcPr>
            <w:tcW w:w="920" w:type="dxa"/>
            <w:gridSpan w:val="2"/>
            <w:tcBorders>
              <w:top w:val="nil"/>
              <w:left w:val="nil"/>
              <w:bottom w:val="single" w:sz="4" w:space="0" w:color="auto"/>
              <w:right w:val="single" w:sz="4" w:space="0" w:color="auto"/>
            </w:tcBorders>
            <w:shd w:val="clear" w:color="000000" w:fill="DBEEF3"/>
            <w:noWrap/>
            <w:vAlign w:val="bottom"/>
          </w:tcPr>
          <w:p w:rsidR="001976CB" w:rsidRDefault="001976CB" w:rsidP="001976CB">
            <w:pPr>
              <w:jc w:val="center"/>
            </w:pPr>
            <w:r>
              <w:t>160</w:t>
            </w:r>
          </w:p>
        </w:tc>
        <w:tc>
          <w:tcPr>
            <w:tcW w:w="2920" w:type="dxa"/>
            <w:gridSpan w:val="3"/>
            <w:tcBorders>
              <w:top w:val="nil"/>
              <w:left w:val="nil"/>
              <w:bottom w:val="single" w:sz="4" w:space="0" w:color="auto"/>
              <w:right w:val="single" w:sz="8" w:space="0" w:color="auto"/>
            </w:tcBorders>
            <w:shd w:val="clear" w:color="auto" w:fill="auto"/>
            <w:vAlign w:val="bottom"/>
          </w:tcPr>
          <w:p w:rsidR="001976CB" w:rsidRDefault="001976CB" w:rsidP="00EF2DE0"/>
        </w:tc>
      </w:tr>
      <w:tr w:rsidR="001976CB"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1976CB" w:rsidRDefault="001976CB" w:rsidP="00EF2DE0">
            <w:r>
              <w:t>Garderober og toalett 5-100</w:t>
            </w:r>
          </w:p>
        </w:tc>
        <w:tc>
          <w:tcPr>
            <w:tcW w:w="920" w:type="dxa"/>
            <w:gridSpan w:val="2"/>
            <w:tcBorders>
              <w:top w:val="nil"/>
              <w:left w:val="nil"/>
              <w:bottom w:val="single" w:sz="4" w:space="0" w:color="auto"/>
              <w:right w:val="single" w:sz="4" w:space="0" w:color="auto"/>
            </w:tcBorders>
            <w:shd w:val="clear" w:color="auto" w:fill="auto"/>
            <w:noWrap/>
            <w:vAlign w:val="bottom"/>
          </w:tcPr>
          <w:p w:rsidR="001976CB" w:rsidRDefault="001976CB" w:rsidP="00EF2DE0">
            <w:pPr>
              <w:jc w:val="center"/>
            </w:pPr>
            <w:r>
              <w:t>12</w:t>
            </w:r>
          </w:p>
        </w:tc>
        <w:tc>
          <w:tcPr>
            <w:tcW w:w="920" w:type="dxa"/>
            <w:tcBorders>
              <w:top w:val="nil"/>
              <w:left w:val="nil"/>
              <w:bottom w:val="single" w:sz="4" w:space="0" w:color="auto"/>
              <w:right w:val="single" w:sz="4" w:space="0" w:color="auto"/>
            </w:tcBorders>
            <w:shd w:val="clear" w:color="auto" w:fill="auto"/>
            <w:noWrap/>
            <w:vAlign w:val="bottom"/>
          </w:tcPr>
          <w:p w:rsidR="001976CB" w:rsidRDefault="001976CB" w:rsidP="001976CB">
            <w:pPr>
              <w:jc w:val="center"/>
            </w:pPr>
            <w:r>
              <w:t>15</w:t>
            </w:r>
          </w:p>
        </w:tc>
        <w:tc>
          <w:tcPr>
            <w:tcW w:w="920" w:type="dxa"/>
            <w:gridSpan w:val="2"/>
            <w:tcBorders>
              <w:top w:val="nil"/>
              <w:left w:val="nil"/>
              <w:bottom w:val="single" w:sz="4" w:space="0" w:color="auto"/>
              <w:right w:val="single" w:sz="4" w:space="0" w:color="auto"/>
            </w:tcBorders>
            <w:shd w:val="clear" w:color="000000" w:fill="DBEEF3"/>
            <w:noWrap/>
            <w:vAlign w:val="bottom"/>
          </w:tcPr>
          <w:p w:rsidR="001976CB" w:rsidRDefault="001976CB" w:rsidP="001976CB">
            <w:pPr>
              <w:jc w:val="center"/>
            </w:pPr>
            <w:r>
              <w:t>180</w:t>
            </w:r>
          </w:p>
        </w:tc>
        <w:tc>
          <w:tcPr>
            <w:tcW w:w="2920" w:type="dxa"/>
            <w:gridSpan w:val="3"/>
            <w:tcBorders>
              <w:top w:val="nil"/>
              <w:left w:val="nil"/>
              <w:bottom w:val="single" w:sz="4" w:space="0" w:color="auto"/>
              <w:right w:val="single" w:sz="8" w:space="0" w:color="auto"/>
            </w:tcBorders>
            <w:shd w:val="clear" w:color="auto" w:fill="auto"/>
            <w:vAlign w:val="bottom"/>
          </w:tcPr>
          <w:p w:rsidR="001976CB" w:rsidRDefault="001976CB"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Mediatek, skoler uten areal kr. Øving</w:t>
            </w:r>
            <w:r w:rsidR="001976CB">
              <w:t>. Med kantinekjøkken</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1976CB" w:rsidP="001976CB">
            <w:pPr>
              <w:jc w:val="center"/>
            </w:pPr>
            <w:r>
              <w:t>518</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D273E9" w:rsidP="00EF2DE0">
            <w:r>
              <w:t>Mat og helse</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r>
              <w:t>1</w:t>
            </w: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1976CB" w:rsidP="001976CB">
            <w:pPr>
              <w:jc w:val="center"/>
            </w:pPr>
            <w:r>
              <w:t>96,5</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Naturfag</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r>
              <w:t>1</w:t>
            </w: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1976CB">
            <w:pPr>
              <w:jc w:val="center"/>
            </w:pPr>
            <w:r>
              <w:t>1</w:t>
            </w:r>
            <w:r w:rsidR="001976CB">
              <w:t>2</w:t>
            </w:r>
            <w:r>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Kunst og håndverk</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r>
              <w:t>1</w:t>
            </w: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D273E9" w:rsidP="00EF2DE0">
            <w:pPr>
              <w:jc w:val="center"/>
            </w:pPr>
            <w:r>
              <w:t>235</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lastRenderedPageBreak/>
              <w:t>Musikk og drama</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r>
              <w:t>1</w:t>
            </w: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D273E9">
            <w:pPr>
              <w:jc w:val="center"/>
            </w:pPr>
            <w:r>
              <w:t>1</w:t>
            </w:r>
            <w:r w:rsidR="00D273E9">
              <w:t>2</w:t>
            </w:r>
            <w:r>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Kroppsøving sal/liten flerbrukshall</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EF2DE0">
            <w:pPr>
              <w:jc w:val="center"/>
            </w:pPr>
            <w:r>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r>
              <w:t>Figgjo hallen brukes til kroppsøving</w:t>
            </w:r>
          </w:p>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Garderobe dusj elever</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EF2DE0">
            <w:pPr>
              <w:jc w:val="center"/>
            </w:pPr>
            <w:r>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IT areal</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D273E9" w:rsidP="00EF2DE0">
            <w:pPr>
              <w:jc w:val="center"/>
            </w:pPr>
            <w:r>
              <w:t>3</w:t>
            </w:r>
            <w:r w:rsidR="00E86204">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Rom for server</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EF2DE0">
            <w:pPr>
              <w:jc w:val="center"/>
            </w:pPr>
            <w:r>
              <w:t>6</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Foaje</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EF2DE0">
            <w:pPr>
              <w:jc w:val="center"/>
            </w:pPr>
            <w:r>
              <w:t>30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Melkerom</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EF2DE0">
            <w:pPr>
              <w:jc w:val="center"/>
            </w:pPr>
            <w:r>
              <w:t>8</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r>
              <w:t>Redskapsbod</w:t>
            </w:r>
          </w:p>
        </w:tc>
        <w:tc>
          <w:tcPr>
            <w:tcW w:w="920" w:type="dxa"/>
            <w:gridSpan w:val="2"/>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4" w:space="0" w:color="auto"/>
            </w:tcBorders>
            <w:shd w:val="clear" w:color="000000" w:fill="DBEEF3"/>
            <w:noWrap/>
            <w:vAlign w:val="bottom"/>
          </w:tcPr>
          <w:p w:rsidR="00E86204" w:rsidRDefault="00E86204" w:rsidP="00EF2DE0">
            <w:pPr>
              <w:jc w:val="center"/>
            </w:pPr>
            <w:r>
              <w:t>16</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405"/>
        </w:trPr>
        <w:tc>
          <w:tcPr>
            <w:tcW w:w="28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86204" w:rsidRPr="00A948A7" w:rsidRDefault="00E86204" w:rsidP="00EF2DE0">
            <w:pPr>
              <w:rPr>
                <w:b/>
                <w:bCs/>
              </w:rPr>
            </w:pPr>
            <w:r w:rsidRPr="00A948A7">
              <w:rPr>
                <w:b/>
                <w:bCs/>
              </w:rPr>
              <w:t>Undervisningsrom Totalt</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86204" w:rsidRPr="00A948A7" w:rsidRDefault="00E86204" w:rsidP="00EF2DE0">
            <w:pPr>
              <w:jc w:val="center"/>
              <w:rPr>
                <w:b/>
                <w:bCs/>
              </w:rPr>
            </w:pPr>
            <w:r w:rsidRPr="00A948A7">
              <w:rPr>
                <w:b/>
                <w:bCs/>
              </w:rPr>
              <w:t> </w:t>
            </w:r>
          </w:p>
        </w:tc>
        <w:tc>
          <w:tcPr>
            <w:tcW w:w="920" w:type="dxa"/>
            <w:tcBorders>
              <w:top w:val="nil"/>
              <w:left w:val="nil"/>
              <w:bottom w:val="single" w:sz="4" w:space="0" w:color="auto"/>
              <w:right w:val="single" w:sz="4" w:space="0" w:color="auto"/>
            </w:tcBorders>
            <w:shd w:val="clear" w:color="auto" w:fill="auto"/>
            <w:noWrap/>
            <w:vAlign w:val="bottom"/>
            <w:hideMark/>
          </w:tcPr>
          <w:p w:rsidR="00E86204" w:rsidRPr="00A948A7" w:rsidRDefault="00E86204" w:rsidP="00EF2DE0">
            <w:pPr>
              <w:jc w:val="center"/>
              <w:rPr>
                <w:b/>
                <w:bCs/>
              </w:rPr>
            </w:pPr>
            <w:r w:rsidRPr="00A948A7">
              <w:rPr>
                <w:b/>
                <w:bCs/>
              </w:rPr>
              <w:t> </w:t>
            </w:r>
          </w:p>
        </w:tc>
        <w:tc>
          <w:tcPr>
            <w:tcW w:w="920" w:type="dxa"/>
            <w:gridSpan w:val="2"/>
            <w:tcBorders>
              <w:top w:val="nil"/>
              <w:left w:val="nil"/>
              <w:bottom w:val="single" w:sz="4" w:space="0" w:color="auto"/>
              <w:right w:val="single" w:sz="4" w:space="0" w:color="auto"/>
            </w:tcBorders>
            <w:shd w:val="clear" w:color="000000" w:fill="DBEEF3"/>
            <w:noWrap/>
            <w:vAlign w:val="bottom"/>
            <w:hideMark/>
          </w:tcPr>
          <w:p w:rsidR="00E86204" w:rsidRPr="00A948A7" w:rsidRDefault="00E86204" w:rsidP="00012676">
            <w:pPr>
              <w:jc w:val="center"/>
              <w:rPr>
                <w:b/>
                <w:bCs/>
              </w:rPr>
            </w:pPr>
            <w:r>
              <w:rPr>
                <w:b/>
                <w:bCs/>
              </w:rPr>
              <w:t>3</w:t>
            </w:r>
            <w:r w:rsidR="00012676">
              <w:rPr>
                <w:b/>
                <w:bCs/>
              </w:rPr>
              <w:t>444</w:t>
            </w:r>
            <w:r w:rsidR="00D273E9">
              <w:rPr>
                <w:b/>
                <w:bCs/>
              </w:rPr>
              <w:t>,5</w:t>
            </w:r>
          </w:p>
        </w:tc>
        <w:tc>
          <w:tcPr>
            <w:tcW w:w="2920" w:type="dxa"/>
            <w:gridSpan w:val="3"/>
            <w:tcBorders>
              <w:top w:val="nil"/>
              <w:left w:val="nil"/>
              <w:bottom w:val="single" w:sz="4" w:space="0" w:color="auto"/>
              <w:right w:val="single" w:sz="8" w:space="0" w:color="auto"/>
            </w:tcBorders>
            <w:shd w:val="clear" w:color="auto" w:fill="auto"/>
            <w:vAlign w:val="bottom"/>
            <w:hideMark/>
          </w:tcPr>
          <w:p w:rsidR="00E86204" w:rsidRPr="00A948A7" w:rsidRDefault="00E86204" w:rsidP="00EF2DE0">
            <w:pPr>
              <w:rPr>
                <w:b/>
                <w:bCs/>
              </w:rPr>
            </w:pPr>
            <w:r w:rsidRPr="00A948A7">
              <w:rPr>
                <w:b/>
                <w:bCs/>
              </w:rPr>
              <w:t> </w:t>
            </w:r>
          </w:p>
        </w:tc>
      </w:tr>
      <w:tr w:rsidR="00E86204" w:rsidRPr="00A948A7" w:rsidTr="00EF2DE0">
        <w:trPr>
          <w:trHeight w:val="270"/>
        </w:trPr>
        <w:tc>
          <w:tcPr>
            <w:tcW w:w="2860" w:type="dxa"/>
            <w:gridSpan w:val="2"/>
            <w:tcBorders>
              <w:top w:val="nil"/>
              <w:left w:val="single" w:sz="8" w:space="0" w:color="auto"/>
              <w:bottom w:val="nil"/>
              <w:right w:val="nil"/>
            </w:tcBorders>
            <w:shd w:val="clear" w:color="auto" w:fill="auto"/>
            <w:noWrap/>
            <w:vAlign w:val="bottom"/>
            <w:hideMark/>
          </w:tcPr>
          <w:p w:rsidR="00E86204" w:rsidRPr="00A948A7" w:rsidRDefault="00E86204" w:rsidP="00EF2DE0">
            <w:r w:rsidRPr="00A948A7">
              <w:t> </w:t>
            </w:r>
          </w:p>
        </w:tc>
        <w:tc>
          <w:tcPr>
            <w:tcW w:w="5680" w:type="dxa"/>
            <w:gridSpan w:val="8"/>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E86204" w:rsidRPr="00A948A7" w:rsidRDefault="00E86204" w:rsidP="00EF2DE0">
            <w:pPr>
              <w:jc w:val="center"/>
              <w:rPr>
                <w:b/>
                <w:bCs/>
              </w:rPr>
            </w:pPr>
            <w:r w:rsidRPr="00A948A7">
              <w:rPr>
                <w:b/>
                <w:bCs/>
              </w:rPr>
              <w:t> </w:t>
            </w:r>
          </w:p>
        </w:tc>
      </w:tr>
      <w:tr w:rsidR="00E86204" w:rsidRPr="00A948A7" w:rsidTr="00EF2DE0">
        <w:trPr>
          <w:trHeight w:val="330"/>
        </w:trPr>
        <w:tc>
          <w:tcPr>
            <w:tcW w:w="2860" w:type="dxa"/>
            <w:gridSpan w:val="2"/>
            <w:tcBorders>
              <w:top w:val="nil"/>
              <w:left w:val="single" w:sz="8" w:space="0" w:color="auto"/>
              <w:bottom w:val="single" w:sz="4" w:space="0" w:color="auto"/>
              <w:right w:val="nil"/>
            </w:tcBorders>
            <w:shd w:val="clear" w:color="auto" w:fill="auto"/>
            <w:noWrap/>
            <w:vAlign w:val="bottom"/>
            <w:hideMark/>
          </w:tcPr>
          <w:p w:rsidR="00E86204" w:rsidRPr="00A948A7" w:rsidRDefault="00E86204" w:rsidP="00EF2DE0">
            <w:pPr>
              <w:rPr>
                <w:b/>
                <w:bCs/>
              </w:rPr>
            </w:pPr>
            <w:r w:rsidRPr="00A948A7">
              <w:rPr>
                <w:b/>
                <w:bCs/>
              </w:rPr>
              <w:t>ADM. OG PERSONALROM</w:t>
            </w:r>
          </w:p>
        </w:tc>
        <w:tc>
          <w:tcPr>
            <w:tcW w:w="5680" w:type="dxa"/>
            <w:gridSpan w:val="8"/>
            <w:vMerge/>
            <w:tcBorders>
              <w:top w:val="nil"/>
              <w:left w:val="single" w:sz="8" w:space="0" w:color="auto"/>
              <w:bottom w:val="single" w:sz="4" w:space="0" w:color="auto"/>
              <w:right w:val="nil"/>
            </w:tcBorders>
            <w:vAlign w:val="center"/>
            <w:hideMark/>
          </w:tcPr>
          <w:p w:rsidR="00E86204" w:rsidRPr="00A948A7" w:rsidRDefault="00E86204" w:rsidP="00EF2DE0">
            <w:pPr>
              <w:rPr>
                <w:b/>
                <w:bCs/>
              </w:rPr>
            </w:pPr>
          </w:p>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Kontor Rektor</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D273E9" w:rsidP="00EF2DE0">
            <w:pPr>
              <w:jc w:val="center"/>
            </w:pPr>
            <w:r>
              <w:t>15</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Kontor Underv. Inspektør</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r>
              <w:t>2</w:t>
            </w: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D273E9">
            <w:pPr>
              <w:jc w:val="center"/>
            </w:pPr>
            <w:r>
              <w:t>1</w:t>
            </w:r>
            <w:r w:rsidR="00D273E9">
              <w:t>0</w:t>
            </w: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D273E9" w:rsidP="00EF2DE0">
            <w:pPr>
              <w:jc w:val="center"/>
            </w:pPr>
            <w:r>
              <w:t>2</w:t>
            </w:r>
            <w:r w:rsidR="00E86204">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Kontor Rådgiver/sosiallærer</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D273E9" w:rsidP="00EF2DE0">
            <w:pPr>
              <w:jc w:val="center"/>
            </w:pPr>
            <w:r>
              <w:t>3</w:t>
            </w: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D273E9">
            <w:pPr>
              <w:jc w:val="center"/>
            </w:pPr>
            <w:r>
              <w:t>1</w:t>
            </w:r>
            <w:r w:rsidR="00D273E9">
              <w:t>0</w:t>
            </w: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EF2DE0">
            <w:pPr>
              <w:jc w:val="center"/>
            </w:pPr>
            <w:r>
              <w:t>30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EF2DE0">
            <w:pPr>
              <w:jc w:val="center"/>
            </w:pP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Kontor leder SFO</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D273E9">
            <w:pPr>
              <w:jc w:val="center"/>
            </w:pPr>
            <w:r>
              <w:t>1</w:t>
            </w:r>
            <w:r w:rsidR="00D273E9">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Forkontor</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D273E9" w:rsidP="00EF2DE0">
            <w:pPr>
              <w:jc w:val="center"/>
            </w:pPr>
            <w:r>
              <w:t>2</w:t>
            </w:r>
            <w:r w:rsidR="00E86204">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D273E9" w:rsidP="00EF2DE0">
            <w:r>
              <w:t>Møterom adm</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EF2DE0">
            <w:pPr>
              <w:jc w:val="center"/>
            </w:pPr>
            <w:r>
              <w:t>30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D273E9"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D273E9" w:rsidRDefault="00D273E9" w:rsidP="00EF2DE0">
            <w:r>
              <w:t>Møterom lærere</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D273E9" w:rsidRDefault="00D273E9" w:rsidP="00EF2DE0">
            <w:pPr>
              <w:jc w:val="center"/>
            </w:pPr>
            <w:r>
              <w:t>4</w:t>
            </w:r>
          </w:p>
        </w:tc>
        <w:tc>
          <w:tcPr>
            <w:tcW w:w="920" w:type="dxa"/>
            <w:tcBorders>
              <w:top w:val="nil"/>
              <w:left w:val="nil"/>
              <w:bottom w:val="single" w:sz="4" w:space="0" w:color="auto"/>
              <w:right w:val="single" w:sz="4" w:space="0" w:color="auto"/>
            </w:tcBorders>
            <w:shd w:val="clear" w:color="auto" w:fill="auto"/>
            <w:noWrap/>
            <w:vAlign w:val="bottom"/>
          </w:tcPr>
          <w:p w:rsidR="00D273E9" w:rsidRDefault="00D273E9" w:rsidP="00EF2DE0">
            <w:pPr>
              <w:jc w:val="center"/>
            </w:pPr>
            <w:r>
              <w:t>15</w:t>
            </w:r>
          </w:p>
        </w:tc>
        <w:tc>
          <w:tcPr>
            <w:tcW w:w="920" w:type="dxa"/>
            <w:gridSpan w:val="2"/>
            <w:tcBorders>
              <w:top w:val="nil"/>
              <w:left w:val="nil"/>
              <w:bottom w:val="single" w:sz="4" w:space="0" w:color="auto"/>
              <w:right w:val="single" w:sz="8" w:space="0" w:color="auto"/>
            </w:tcBorders>
            <w:shd w:val="clear" w:color="000000" w:fill="DBEEF3"/>
            <w:noWrap/>
            <w:vAlign w:val="bottom"/>
          </w:tcPr>
          <w:p w:rsidR="00D273E9" w:rsidRDefault="00D273E9" w:rsidP="00EF2DE0">
            <w:pPr>
              <w:jc w:val="center"/>
            </w:pPr>
            <w:r>
              <w:t>60</w:t>
            </w:r>
          </w:p>
        </w:tc>
        <w:tc>
          <w:tcPr>
            <w:tcW w:w="2920" w:type="dxa"/>
            <w:gridSpan w:val="3"/>
            <w:tcBorders>
              <w:top w:val="nil"/>
              <w:left w:val="nil"/>
              <w:bottom w:val="single" w:sz="4" w:space="0" w:color="auto"/>
              <w:right w:val="single" w:sz="8" w:space="0" w:color="auto"/>
            </w:tcBorders>
            <w:shd w:val="clear" w:color="auto" w:fill="auto"/>
            <w:vAlign w:val="bottom"/>
          </w:tcPr>
          <w:p w:rsidR="00D273E9" w:rsidRPr="00A948A7" w:rsidRDefault="00D273E9"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Arbeids rom lærere barnetrinnet</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D273E9" w:rsidP="00EF2DE0">
            <w:pPr>
              <w:jc w:val="center"/>
            </w:pPr>
            <w:r>
              <w:t>28</w:t>
            </w:r>
          </w:p>
        </w:tc>
        <w:tc>
          <w:tcPr>
            <w:tcW w:w="920" w:type="dxa"/>
            <w:tcBorders>
              <w:top w:val="nil"/>
              <w:left w:val="nil"/>
              <w:bottom w:val="single" w:sz="4" w:space="0" w:color="auto"/>
              <w:right w:val="single" w:sz="4" w:space="0" w:color="auto"/>
            </w:tcBorders>
            <w:shd w:val="clear" w:color="auto" w:fill="auto"/>
            <w:noWrap/>
            <w:vAlign w:val="bottom"/>
          </w:tcPr>
          <w:p w:rsidR="00E86204" w:rsidRDefault="00D273E9" w:rsidP="00EF2DE0">
            <w:pPr>
              <w:jc w:val="center"/>
            </w:pPr>
            <w:r>
              <w:t>6</w:t>
            </w: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EF2DE0">
            <w:pPr>
              <w:jc w:val="center"/>
            </w:pPr>
            <w:r>
              <w:t>168</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Arbeidsrom ungd.trinn</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D273E9" w:rsidP="00EF2DE0">
            <w:pPr>
              <w:jc w:val="center"/>
            </w:pPr>
            <w:r>
              <w:t>1</w:t>
            </w:r>
            <w:r w:rsidR="00E86204">
              <w:t>6</w:t>
            </w:r>
          </w:p>
        </w:tc>
        <w:tc>
          <w:tcPr>
            <w:tcW w:w="920" w:type="dxa"/>
            <w:tcBorders>
              <w:top w:val="nil"/>
              <w:left w:val="nil"/>
              <w:bottom w:val="single" w:sz="4" w:space="0" w:color="auto"/>
              <w:right w:val="single" w:sz="4" w:space="0" w:color="auto"/>
            </w:tcBorders>
            <w:shd w:val="clear" w:color="auto" w:fill="auto"/>
            <w:noWrap/>
            <w:vAlign w:val="bottom"/>
          </w:tcPr>
          <w:p w:rsidR="00E86204" w:rsidRDefault="00D273E9" w:rsidP="00EF2DE0">
            <w:pPr>
              <w:jc w:val="center"/>
            </w:pPr>
            <w:r>
              <w:t>6</w:t>
            </w: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D273E9" w:rsidP="00EF2DE0">
            <w:pPr>
              <w:jc w:val="center"/>
            </w:pPr>
            <w:r>
              <w:t>96</w:t>
            </w:r>
          </w:p>
        </w:tc>
        <w:tc>
          <w:tcPr>
            <w:tcW w:w="2920" w:type="dxa"/>
            <w:gridSpan w:val="3"/>
            <w:tcBorders>
              <w:top w:val="nil"/>
              <w:left w:val="nil"/>
              <w:bottom w:val="single" w:sz="4" w:space="0" w:color="auto"/>
              <w:right w:val="single" w:sz="8" w:space="0" w:color="auto"/>
            </w:tcBorders>
            <w:shd w:val="clear" w:color="auto" w:fill="auto"/>
            <w:vAlign w:val="bottom"/>
          </w:tcPr>
          <w:p w:rsidR="00E86204" w:rsidRDefault="00E86204" w:rsidP="00EF2DE0"/>
        </w:tc>
      </w:tr>
      <w:tr w:rsidR="00D273E9"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D273E9" w:rsidRDefault="00D273E9" w:rsidP="00EF2DE0">
            <w:r>
              <w:t>Arbeidsplasser fleksi</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D273E9" w:rsidRDefault="00D273E9" w:rsidP="00EF2DE0">
            <w:pPr>
              <w:jc w:val="center"/>
            </w:pPr>
            <w:r>
              <w:t>3</w:t>
            </w:r>
          </w:p>
        </w:tc>
        <w:tc>
          <w:tcPr>
            <w:tcW w:w="920" w:type="dxa"/>
            <w:tcBorders>
              <w:top w:val="nil"/>
              <w:left w:val="nil"/>
              <w:bottom w:val="single" w:sz="4" w:space="0" w:color="auto"/>
              <w:right w:val="single" w:sz="4" w:space="0" w:color="auto"/>
            </w:tcBorders>
            <w:shd w:val="clear" w:color="auto" w:fill="auto"/>
            <w:noWrap/>
            <w:vAlign w:val="bottom"/>
          </w:tcPr>
          <w:p w:rsidR="00D273E9" w:rsidRDefault="00D273E9" w:rsidP="00EF2DE0">
            <w:pPr>
              <w:jc w:val="center"/>
            </w:pPr>
            <w:r>
              <w:t>6</w:t>
            </w:r>
          </w:p>
        </w:tc>
        <w:tc>
          <w:tcPr>
            <w:tcW w:w="920" w:type="dxa"/>
            <w:gridSpan w:val="2"/>
            <w:tcBorders>
              <w:top w:val="nil"/>
              <w:left w:val="nil"/>
              <w:bottom w:val="single" w:sz="4" w:space="0" w:color="auto"/>
              <w:right w:val="single" w:sz="8" w:space="0" w:color="auto"/>
            </w:tcBorders>
            <w:shd w:val="clear" w:color="000000" w:fill="DBEEF3"/>
            <w:noWrap/>
            <w:vAlign w:val="bottom"/>
          </w:tcPr>
          <w:p w:rsidR="00D273E9" w:rsidRDefault="00D273E9" w:rsidP="00EF2DE0">
            <w:pPr>
              <w:jc w:val="center"/>
            </w:pPr>
            <w:r>
              <w:t>18</w:t>
            </w:r>
          </w:p>
        </w:tc>
        <w:tc>
          <w:tcPr>
            <w:tcW w:w="2920" w:type="dxa"/>
            <w:gridSpan w:val="3"/>
            <w:tcBorders>
              <w:top w:val="nil"/>
              <w:left w:val="nil"/>
              <w:bottom w:val="single" w:sz="4" w:space="0" w:color="auto"/>
              <w:right w:val="single" w:sz="8" w:space="0" w:color="auto"/>
            </w:tcBorders>
            <w:shd w:val="clear" w:color="auto" w:fill="auto"/>
            <w:vAlign w:val="bottom"/>
          </w:tcPr>
          <w:p w:rsidR="00D273E9" w:rsidRDefault="00D273E9"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Personalrom</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D273E9" w:rsidP="00EF2DE0">
            <w:pPr>
              <w:jc w:val="center"/>
            </w:pPr>
            <w:r>
              <w:t>6</w:t>
            </w:r>
            <w:r w:rsidR="00E86204">
              <w:t>0</w:t>
            </w:r>
          </w:p>
        </w:tc>
        <w:tc>
          <w:tcPr>
            <w:tcW w:w="920" w:type="dxa"/>
            <w:tcBorders>
              <w:top w:val="nil"/>
              <w:left w:val="nil"/>
              <w:bottom w:val="single" w:sz="4" w:space="0" w:color="auto"/>
              <w:right w:val="single" w:sz="4" w:space="0" w:color="auto"/>
            </w:tcBorders>
            <w:shd w:val="clear" w:color="auto" w:fill="auto"/>
            <w:noWrap/>
            <w:vAlign w:val="bottom"/>
          </w:tcPr>
          <w:p w:rsidR="00E86204" w:rsidRDefault="00D273E9" w:rsidP="00EF2DE0">
            <w:pPr>
              <w:jc w:val="center"/>
            </w:pPr>
            <w:r>
              <w:t>2</w:t>
            </w: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D273E9">
            <w:pPr>
              <w:jc w:val="center"/>
            </w:pPr>
            <w:r>
              <w:t>1</w:t>
            </w:r>
            <w:r w:rsidR="00D273E9">
              <w:t>2</w:t>
            </w:r>
            <w:r>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Garderobe/toalett ansatte</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r>
              <w:t>20</w:t>
            </w:r>
          </w:p>
        </w:tc>
        <w:tc>
          <w:tcPr>
            <w:tcW w:w="920" w:type="dxa"/>
            <w:tcBorders>
              <w:top w:val="nil"/>
              <w:left w:val="nil"/>
              <w:bottom w:val="single" w:sz="4" w:space="0" w:color="auto"/>
              <w:right w:val="single" w:sz="4" w:space="0" w:color="auto"/>
            </w:tcBorders>
            <w:shd w:val="clear" w:color="auto" w:fill="auto"/>
            <w:noWrap/>
            <w:vAlign w:val="bottom"/>
          </w:tcPr>
          <w:p w:rsidR="00E86204" w:rsidRDefault="00D273E9" w:rsidP="00EF2DE0">
            <w:pPr>
              <w:jc w:val="center"/>
            </w:pPr>
            <w:r>
              <w:t>3</w:t>
            </w: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EF2DE0">
            <w:pPr>
              <w:jc w:val="center"/>
            </w:pPr>
            <w:r>
              <w:t>60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Dusj ansatte (ved gard/toalett)</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r>
              <w:t>2</w:t>
            </w: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r>
              <w:t>4</w:t>
            </w: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EF2DE0">
            <w:pPr>
              <w:jc w:val="center"/>
            </w:pPr>
            <w:r>
              <w:t>8</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Helsesøster/lege</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D273E9" w:rsidP="00EF2DE0">
            <w:pPr>
              <w:jc w:val="center"/>
            </w:pPr>
            <w:r>
              <w:t>3</w:t>
            </w:r>
            <w:r w:rsidR="00E86204">
              <w:t>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Lager</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D273E9">
            <w:pPr>
              <w:jc w:val="center"/>
            </w:pPr>
            <w:r>
              <w:t>1</w:t>
            </w:r>
            <w:r w:rsidR="00D273E9">
              <w:t>4</w:t>
            </w:r>
            <w:r>
              <w:t>5</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Vaktmester Kontor/Verksted</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D273E9" w:rsidP="00EF2DE0">
            <w:pPr>
              <w:jc w:val="center"/>
            </w:pPr>
            <w:r>
              <w:t>15</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Pause/hvilerom renholder</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EF2DE0">
            <w:pPr>
              <w:jc w:val="center"/>
            </w:pPr>
            <w:r>
              <w:t>15</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r>
              <w:t>Legges til personalrom</w:t>
            </w:r>
          </w:p>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Default="00E86204" w:rsidP="00EF2DE0">
            <w:r>
              <w:t>Rengjøring/Mopperom</w:t>
            </w:r>
          </w:p>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Default="00E86204" w:rsidP="00EF2DE0">
            <w:pPr>
              <w:jc w:val="center"/>
            </w:pPr>
            <w:r>
              <w:t>20</w:t>
            </w: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70"/>
        </w:trPr>
        <w:tc>
          <w:tcPr>
            <w:tcW w:w="2860" w:type="dxa"/>
            <w:gridSpan w:val="2"/>
            <w:tcBorders>
              <w:top w:val="nil"/>
              <w:left w:val="single" w:sz="8" w:space="0" w:color="auto"/>
              <w:bottom w:val="single" w:sz="4" w:space="0" w:color="auto"/>
              <w:right w:val="nil"/>
            </w:tcBorders>
            <w:shd w:val="clear" w:color="auto" w:fill="auto"/>
            <w:noWrap/>
            <w:vAlign w:val="bottom"/>
          </w:tcPr>
          <w:p w:rsidR="00E86204" w:rsidRPr="00A948A7" w:rsidRDefault="00E86204" w:rsidP="00EF2DE0"/>
        </w:tc>
        <w:tc>
          <w:tcPr>
            <w:tcW w:w="920" w:type="dxa"/>
            <w:gridSpan w:val="2"/>
            <w:tcBorders>
              <w:top w:val="nil"/>
              <w:left w:val="single" w:sz="8" w:space="0" w:color="auto"/>
              <w:bottom w:val="single" w:sz="4" w:space="0" w:color="auto"/>
              <w:right w:val="single" w:sz="4" w:space="0" w:color="auto"/>
            </w:tcBorders>
            <w:shd w:val="clear" w:color="auto" w:fill="auto"/>
            <w:noWrap/>
            <w:vAlign w:val="bottom"/>
          </w:tcPr>
          <w:p w:rsidR="00E86204" w:rsidRPr="00A948A7" w:rsidRDefault="00E86204" w:rsidP="00EF2DE0">
            <w:pPr>
              <w:jc w:val="center"/>
            </w:pPr>
          </w:p>
        </w:tc>
        <w:tc>
          <w:tcPr>
            <w:tcW w:w="920" w:type="dxa"/>
            <w:tcBorders>
              <w:top w:val="nil"/>
              <w:left w:val="nil"/>
              <w:bottom w:val="single" w:sz="4" w:space="0" w:color="auto"/>
              <w:right w:val="single" w:sz="4" w:space="0" w:color="auto"/>
            </w:tcBorders>
            <w:shd w:val="clear" w:color="auto" w:fill="auto"/>
            <w:noWrap/>
            <w:vAlign w:val="bottom"/>
          </w:tcPr>
          <w:p w:rsidR="00E86204" w:rsidRPr="00A948A7" w:rsidRDefault="00E86204" w:rsidP="00EF2DE0">
            <w:pPr>
              <w:jc w:val="center"/>
            </w:pPr>
          </w:p>
        </w:tc>
        <w:tc>
          <w:tcPr>
            <w:tcW w:w="920" w:type="dxa"/>
            <w:gridSpan w:val="2"/>
            <w:tcBorders>
              <w:top w:val="nil"/>
              <w:left w:val="nil"/>
              <w:bottom w:val="single" w:sz="4" w:space="0" w:color="auto"/>
              <w:right w:val="single" w:sz="8" w:space="0" w:color="auto"/>
            </w:tcBorders>
            <w:shd w:val="clear" w:color="000000" w:fill="DBEEF3"/>
            <w:noWrap/>
            <w:vAlign w:val="bottom"/>
          </w:tcPr>
          <w:p w:rsidR="00E86204" w:rsidRPr="00A948A7" w:rsidRDefault="00E86204" w:rsidP="00EF2DE0">
            <w:pPr>
              <w:jc w:val="center"/>
            </w:pPr>
          </w:p>
        </w:tc>
        <w:tc>
          <w:tcPr>
            <w:tcW w:w="2920" w:type="dxa"/>
            <w:gridSpan w:val="3"/>
            <w:tcBorders>
              <w:top w:val="nil"/>
              <w:left w:val="nil"/>
              <w:bottom w:val="single" w:sz="4" w:space="0" w:color="auto"/>
              <w:right w:val="single" w:sz="8" w:space="0" w:color="auto"/>
            </w:tcBorders>
            <w:shd w:val="clear" w:color="auto" w:fill="auto"/>
            <w:vAlign w:val="bottom"/>
          </w:tcPr>
          <w:p w:rsidR="00E86204" w:rsidRPr="00A948A7" w:rsidRDefault="00E86204" w:rsidP="00EF2DE0"/>
        </w:tc>
      </w:tr>
      <w:tr w:rsidR="00E86204" w:rsidRPr="00A948A7" w:rsidTr="00EF2DE0">
        <w:trPr>
          <w:trHeight w:val="285"/>
        </w:trPr>
        <w:tc>
          <w:tcPr>
            <w:tcW w:w="2860" w:type="dxa"/>
            <w:gridSpan w:val="2"/>
            <w:tcBorders>
              <w:top w:val="nil"/>
              <w:left w:val="single" w:sz="8" w:space="0" w:color="auto"/>
              <w:bottom w:val="single" w:sz="8" w:space="0" w:color="auto"/>
              <w:right w:val="nil"/>
            </w:tcBorders>
            <w:shd w:val="clear" w:color="auto" w:fill="auto"/>
            <w:noWrap/>
            <w:vAlign w:val="bottom"/>
            <w:hideMark/>
          </w:tcPr>
          <w:p w:rsidR="00E86204" w:rsidRPr="00A948A7" w:rsidRDefault="00E86204" w:rsidP="00EF2DE0">
            <w:pPr>
              <w:rPr>
                <w:b/>
                <w:bCs/>
              </w:rPr>
            </w:pPr>
            <w:r w:rsidRPr="00A948A7">
              <w:rPr>
                <w:b/>
                <w:bCs/>
              </w:rPr>
              <w:t>Adm. og personalrom Totalt</w:t>
            </w:r>
          </w:p>
        </w:tc>
        <w:tc>
          <w:tcPr>
            <w:tcW w:w="920" w:type="dxa"/>
            <w:gridSpan w:val="2"/>
            <w:tcBorders>
              <w:top w:val="nil"/>
              <w:left w:val="single" w:sz="8" w:space="0" w:color="auto"/>
              <w:bottom w:val="single" w:sz="8" w:space="0" w:color="auto"/>
              <w:right w:val="single" w:sz="4" w:space="0" w:color="auto"/>
            </w:tcBorders>
            <w:shd w:val="clear" w:color="auto" w:fill="auto"/>
            <w:noWrap/>
            <w:vAlign w:val="bottom"/>
            <w:hideMark/>
          </w:tcPr>
          <w:p w:rsidR="00E86204" w:rsidRPr="00A948A7" w:rsidRDefault="00E86204" w:rsidP="00EF2DE0">
            <w:pPr>
              <w:jc w:val="center"/>
            </w:pPr>
            <w:r w:rsidRPr="00A948A7">
              <w:t> </w:t>
            </w:r>
          </w:p>
        </w:tc>
        <w:tc>
          <w:tcPr>
            <w:tcW w:w="920" w:type="dxa"/>
            <w:tcBorders>
              <w:top w:val="nil"/>
              <w:left w:val="nil"/>
              <w:bottom w:val="single" w:sz="8" w:space="0" w:color="auto"/>
              <w:right w:val="single" w:sz="4" w:space="0" w:color="auto"/>
            </w:tcBorders>
            <w:shd w:val="clear" w:color="auto" w:fill="auto"/>
            <w:noWrap/>
            <w:vAlign w:val="bottom"/>
            <w:hideMark/>
          </w:tcPr>
          <w:p w:rsidR="00E86204" w:rsidRPr="00A948A7" w:rsidRDefault="00E86204" w:rsidP="00EF2DE0">
            <w:pPr>
              <w:jc w:val="center"/>
            </w:pPr>
            <w:r w:rsidRPr="00A948A7">
              <w:t> </w:t>
            </w:r>
          </w:p>
        </w:tc>
        <w:tc>
          <w:tcPr>
            <w:tcW w:w="920" w:type="dxa"/>
            <w:gridSpan w:val="2"/>
            <w:tcBorders>
              <w:top w:val="nil"/>
              <w:left w:val="nil"/>
              <w:bottom w:val="single" w:sz="8" w:space="0" w:color="auto"/>
              <w:right w:val="single" w:sz="8" w:space="0" w:color="auto"/>
            </w:tcBorders>
            <w:shd w:val="clear" w:color="000000" w:fill="DBEEF3"/>
            <w:noWrap/>
            <w:vAlign w:val="bottom"/>
            <w:hideMark/>
          </w:tcPr>
          <w:p w:rsidR="00E86204" w:rsidRPr="00A948A7" w:rsidRDefault="00D273E9" w:rsidP="00D273E9">
            <w:pPr>
              <w:jc w:val="center"/>
              <w:rPr>
                <w:b/>
                <w:bCs/>
              </w:rPr>
            </w:pPr>
            <w:r>
              <w:rPr>
                <w:b/>
                <w:bCs/>
              </w:rPr>
              <w:t>880</w:t>
            </w:r>
          </w:p>
        </w:tc>
        <w:tc>
          <w:tcPr>
            <w:tcW w:w="2920" w:type="dxa"/>
            <w:gridSpan w:val="3"/>
            <w:tcBorders>
              <w:top w:val="nil"/>
              <w:left w:val="nil"/>
              <w:bottom w:val="single" w:sz="8" w:space="0" w:color="auto"/>
              <w:right w:val="single" w:sz="8" w:space="0" w:color="auto"/>
            </w:tcBorders>
            <w:shd w:val="clear" w:color="auto" w:fill="auto"/>
            <w:vAlign w:val="bottom"/>
            <w:hideMark/>
          </w:tcPr>
          <w:p w:rsidR="00E86204" w:rsidRPr="00A948A7" w:rsidRDefault="00E86204" w:rsidP="00EF2DE0">
            <w:r w:rsidRPr="00A948A7">
              <w:t> </w:t>
            </w:r>
          </w:p>
        </w:tc>
      </w:tr>
      <w:tr w:rsidR="00E86204" w:rsidRPr="00A948A7" w:rsidTr="00EF2DE0">
        <w:trPr>
          <w:trHeight w:val="345"/>
        </w:trPr>
        <w:tc>
          <w:tcPr>
            <w:tcW w:w="2860" w:type="dxa"/>
            <w:gridSpan w:val="2"/>
            <w:tcBorders>
              <w:top w:val="nil"/>
              <w:left w:val="single" w:sz="8" w:space="0" w:color="auto"/>
              <w:bottom w:val="single" w:sz="8" w:space="0" w:color="auto"/>
              <w:right w:val="nil"/>
            </w:tcBorders>
            <w:shd w:val="clear" w:color="auto" w:fill="auto"/>
            <w:noWrap/>
            <w:vAlign w:val="bottom"/>
            <w:hideMark/>
          </w:tcPr>
          <w:p w:rsidR="00E86204" w:rsidRPr="00A948A7" w:rsidRDefault="00E86204" w:rsidP="00EF2DE0">
            <w:pPr>
              <w:rPr>
                <w:b/>
                <w:bCs/>
              </w:rPr>
            </w:pPr>
            <w:r w:rsidRPr="00A948A7">
              <w:rPr>
                <w:b/>
                <w:bCs/>
              </w:rPr>
              <w:t xml:space="preserve">NETTOAREAL TOTALT </w:t>
            </w:r>
          </w:p>
        </w:tc>
        <w:tc>
          <w:tcPr>
            <w:tcW w:w="920" w:type="dxa"/>
            <w:gridSpan w:val="2"/>
            <w:tcBorders>
              <w:top w:val="nil"/>
              <w:left w:val="nil"/>
              <w:bottom w:val="single" w:sz="8" w:space="0" w:color="auto"/>
              <w:right w:val="nil"/>
            </w:tcBorders>
            <w:shd w:val="clear" w:color="auto" w:fill="auto"/>
            <w:noWrap/>
            <w:vAlign w:val="bottom"/>
            <w:hideMark/>
          </w:tcPr>
          <w:p w:rsidR="00E86204" w:rsidRPr="00A948A7" w:rsidRDefault="00E86204" w:rsidP="00EF2DE0">
            <w:pPr>
              <w:jc w:val="center"/>
            </w:pPr>
            <w:r w:rsidRPr="00A948A7">
              <w:t> </w:t>
            </w:r>
          </w:p>
        </w:tc>
        <w:tc>
          <w:tcPr>
            <w:tcW w:w="920" w:type="dxa"/>
            <w:tcBorders>
              <w:top w:val="nil"/>
              <w:left w:val="nil"/>
              <w:bottom w:val="single" w:sz="8" w:space="0" w:color="auto"/>
              <w:right w:val="nil"/>
            </w:tcBorders>
            <w:shd w:val="clear" w:color="auto" w:fill="auto"/>
            <w:noWrap/>
            <w:vAlign w:val="bottom"/>
            <w:hideMark/>
          </w:tcPr>
          <w:p w:rsidR="00E86204" w:rsidRPr="00A948A7" w:rsidRDefault="00E86204" w:rsidP="00EF2DE0">
            <w:pPr>
              <w:jc w:val="center"/>
            </w:pPr>
            <w:r w:rsidRPr="00A948A7">
              <w:t> </w:t>
            </w:r>
          </w:p>
        </w:tc>
        <w:tc>
          <w:tcPr>
            <w:tcW w:w="920" w:type="dxa"/>
            <w:gridSpan w:val="2"/>
            <w:tcBorders>
              <w:top w:val="nil"/>
              <w:left w:val="single" w:sz="8" w:space="0" w:color="auto"/>
              <w:bottom w:val="single" w:sz="8" w:space="0" w:color="auto"/>
              <w:right w:val="single" w:sz="8" w:space="0" w:color="auto"/>
            </w:tcBorders>
            <w:shd w:val="clear" w:color="000000" w:fill="DBEEF3"/>
            <w:noWrap/>
            <w:vAlign w:val="bottom"/>
            <w:hideMark/>
          </w:tcPr>
          <w:p w:rsidR="00E86204" w:rsidRPr="00A948A7" w:rsidRDefault="00E86204" w:rsidP="00012676">
            <w:pPr>
              <w:jc w:val="center"/>
              <w:rPr>
                <w:b/>
                <w:bCs/>
              </w:rPr>
            </w:pPr>
            <w:r>
              <w:rPr>
                <w:b/>
                <w:bCs/>
              </w:rPr>
              <w:t>4</w:t>
            </w:r>
            <w:r w:rsidR="00012676">
              <w:rPr>
                <w:b/>
                <w:bCs/>
              </w:rPr>
              <w:t>325</w:t>
            </w:r>
          </w:p>
        </w:tc>
        <w:tc>
          <w:tcPr>
            <w:tcW w:w="2920" w:type="dxa"/>
            <w:gridSpan w:val="3"/>
            <w:tcBorders>
              <w:top w:val="nil"/>
              <w:left w:val="nil"/>
              <w:bottom w:val="single" w:sz="8" w:space="0" w:color="auto"/>
              <w:right w:val="single" w:sz="8" w:space="0" w:color="auto"/>
            </w:tcBorders>
            <w:shd w:val="clear" w:color="auto" w:fill="auto"/>
            <w:vAlign w:val="bottom"/>
            <w:hideMark/>
          </w:tcPr>
          <w:p w:rsidR="00E86204" w:rsidRPr="00A948A7" w:rsidRDefault="00E86204" w:rsidP="00EF2DE0">
            <w:r w:rsidRPr="00A948A7">
              <w:t> </w:t>
            </w:r>
            <w:r w:rsidRPr="00A948A7">
              <w:rPr>
                <w:rFonts w:ascii="Arial Narrow" w:hAnsi="Arial Narrow" w:cs="Arial"/>
              </w:rPr>
              <w:t xml:space="preserve">m²  </w:t>
            </w:r>
          </w:p>
        </w:tc>
      </w:tr>
      <w:tr w:rsidR="00E86204" w:rsidRPr="00A948A7" w:rsidTr="00EF2DE0">
        <w:trPr>
          <w:gridAfter w:val="1"/>
          <w:wAfter w:w="2140" w:type="dxa"/>
          <w:trHeight w:val="270"/>
        </w:trPr>
        <w:tc>
          <w:tcPr>
            <w:tcW w:w="2560" w:type="dxa"/>
            <w:tcBorders>
              <w:top w:val="nil"/>
              <w:left w:val="nil"/>
              <w:bottom w:val="single" w:sz="4" w:space="0" w:color="auto"/>
              <w:right w:val="nil"/>
            </w:tcBorders>
            <w:shd w:val="clear" w:color="auto" w:fill="auto"/>
            <w:noWrap/>
            <w:vAlign w:val="bottom"/>
            <w:hideMark/>
          </w:tcPr>
          <w:p w:rsidR="00E86204" w:rsidRPr="00A948A7" w:rsidRDefault="00E86204" w:rsidP="00EF2DE0">
            <w:pPr>
              <w:rPr>
                <w:rFonts w:ascii="Arial Narrow" w:hAnsi="Arial Narrow" w:cs="Arial"/>
                <w:b/>
                <w:bCs/>
              </w:rPr>
            </w:pPr>
          </w:p>
        </w:tc>
        <w:tc>
          <w:tcPr>
            <w:tcW w:w="520" w:type="dxa"/>
            <w:gridSpan w:val="2"/>
            <w:tcBorders>
              <w:top w:val="nil"/>
              <w:left w:val="nil"/>
              <w:bottom w:val="single" w:sz="4" w:space="0" w:color="auto"/>
              <w:right w:val="nil"/>
            </w:tcBorders>
            <w:shd w:val="clear" w:color="auto" w:fill="auto"/>
            <w:noWrap/>
            <w:vAlign w:val="bottom"/>
            <w:hideMark/>
          </w:tcPr>
          <w:p w:rsidR="00E86204" w:rsidRPr="00A948A7" w:rsidRDefault="00E86204" w:rsidP="00EF2DE0">
            <w:pPr>
              <w:jc w:val="center"/>
              <w:rPr>
                <w:rFonts w:ascii="Arial Narrow" w:hAnsi="Arial Narrow" w:cs="Arial"/>
                <w:sz w:val="20"/>
              </w:rPr>
            </w:pPr>
          </w:p>
        </w:tc>
        <w:tc>
          <w:tcPr>
            <w:tcW w:w="700" w:type="dxa"/>
            <w:tcBorders>
              <w:top w:val="nil"/>
              <w:left w:val="nil"/>
              <w:bottom w:val="single" w:sz="4" w:space="0" w:color="auto"/>
              <w:right w:val="nil"/>
            </w:tcBorders>
            <w:shd w:val="clear" w:color="auto" w:fill="auto"/>
            <w:noWrap/>
            <w:vAlign w:val="bottom"/>
            <w:hideMark/>
          </w:tcPr>
          <w:p w:rsidR="00E86204" w:rsidRPr="00A948A7" w:rsidRDefault="00E86204" w:rsidP="00EF2DE0">
            <w:pPr>
              <w:jc w:val="center"/>
              <w:rPr>
                <w:rFonts w:ascii="Arial Narrow" w:hAnsi="Arial Narrow" w:cs="Arial"/>
                <w:sz w:val="20"/>
              </w:rPr>
            </w:pPr>
          </w:p>
        </w:tc>
        <w:tc>
          <w:tcPr>
            <w:tcW w:w="1900" w:type="dxa"/>
            <w:gridSpan w:val="4"/>
            <w:tcBorders>
              <w:top w:val="nil"/>
              <w:left w:val="nil"/>
              <w:bottom w:val="single" w:sz="4" w:space="0" w:color="auto"/>
              <w:right w:val="nil"/>
            </w:tcBorders>
            <w:shd w:val="clear" w:color="auto" w:fill="auto"/>
            <w:noWrap/>
            <w:vAlign w:val="bottom"/>
            <w:hideMark/>
          </w:tcPr>
          <w:p w:rsidR="00E86204" w:rsidRPr="00A948A7" w:rsidRDefault="00E86204" w:rsidP="00EF2DE0">
            <w:pPr>
              <w:jc w:val="center"/>
              <w:rPr>
                <w:rFonts w:ascii="Arial Narrow" w:hAnsi="Arial Narrow" w:cs="Arial"/>
                <w:b/>
                <w:bCs/>
              </w:rPr>
            </w:pPr>
          </w:p>
        </w:tc>
        <w:tc>
          <w:tcPr>
            <w:tcW w:w="720" w:type="dxa"/>
            <w:tcBorders>
              <w:top w:val="nil"/>
              <w:left w:val="nil"/>
              <w:bottom w:val="single" w:sz="4" w:space="0" w:color="auto"/>
              <w:right w:val="nil"/>
            </w:tcBorders>
            <w:shd w:val="clear" w:color="auto" w:fill="auto"/>
            <w:noWrap/>
            <w:vAlign w:val="bottom"/>
            <w:hideMark/>
          </w:tcPr>
          <w:p w:rsidR="00E86204" w:rsidRPr="00A948A7" w:rsidRDefault="00E86204" w:rsidP="00EF2DE0">
            <w:pPr>
              <w:rPr>
                <w:rFonts w:ascii="Arial Narrow" w:hAnsi="Arial Narrow" w:cs="Arial"/>
                <w:sz w:val="16"/>
                <w:szCs w:val="16"/>
              </w:rPr>
            </w:pPr>
          </w:p>
        </w:tc>
      </w:tr>
      <w:tr w:rsidR="00E86204" w:rsidRPr="00A948A7" w:rsidTr="00EF2DE0">
        <w:trPr>
          <w:trHeight w:val="270"/>
        </w:trPr>
        <w:tc>
          <w:tcPr>
            <w:tcW w:w="3780" w:type="dxa"/>
            <w:gridSpan w:val="4"/>
            <w:tcBorders>
              <w:top w:val="single" w:sz="4" w:space="0" w:color="auto"/>
              <w:left w:val="single" w:sz="4" w:space="0" w:color="auto"/>
              <w:bottom w:val="single" w:sz="4" w:space="0" w:color="auto"/>
            </w:tcBorders>
            <w:shd w:val="clear" w:color="auto" w:fill="auto"/>
            <w:noWrap/>
            <w:vAlign w:val="bottom"/>
            <w:hideMark/>
          </w:tcPr>
          <w:p w:rsidR="00E86204" w:rsidRPr="00A948A7" w:rsidRDefault="00E86204" w:rsidP="00EF2DE0">
            <w:pPr>
              <w:rPr>
                <w:rFonts w:ascii="Arial Narrow" w:hAnsi="Arial Narrow" w:cs="Arial"/>
                <w:sz w:val="20"/>
              </w:rPr>
            </w:pPr>
            <w:r w:rsidRPr="00A948A7">
              <w:rPr>
                <w:rFonts w:ascii="Arial Narrow" w:hAnsi="Arial Narrow" w:cs="Arial"/>
                <w:sz w:val="20"/>
              </w:rPr>
              <w:t xml:space="preserve">Leskur  </w:t>
            </w:r>
          </w:p>
        </w:tc>
        <w:tc>
          <w:tcPr>
            <w:tcW w:w="950" w:type="dxa"/>
            <w:gridSpan w:val="2"/>
            <w:tcBorders>
              <w:top w:val="single" w:sz="4" w:space="0" w:color="auto"/>
              <w:bottom w:val="single" w:sz="4" w:space="0" w:color="auto"/>
              <w:right w:val="single" w:sz="4" w:space="0" w:color="auto"/>
            </w:tcBorders>
            <w:shd w:val="clear" w:color="auto" w:fill="auto"/>
            <w:noWrap/>
            <w:vAlign w:val="bottom"/>
            <w:hideMark/>
          </w:tcPr>
          <w:p w:rsidR="00E86204" w:rsidRPr="00A948A7" w:rsidRDefault="00E86204" w:rsidP="00EF2DE0">
            <w:pPr>
              <w:jc w:val="center"/>
              <w:rPr>
                <w:rFonts w:ascii="Arial Narrow" w:hAnsi="Arial Narrow" w:cs="Arial"/>
                <w:sz w:val="20"/>
              </w:rPr>
            </w:pP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86204" w:rsidRPr="00A948A7" w:rsidRDefault="00E86204" w:rsidP="00EF2DE0">
            <w:pPr>
              <w:jc w:val="center"/>
              <w:rPr>
                <w:rFonts w:ascii="Arial Narrow" w:hAnsi="Arial Narrow" w:cs="Arial"/>
                <w:sz w:val="20"/>
              </w:rPr>
            </w:pPr>
            <w:r>
              <w:rPr>
                <w:rFonts w:ascii="Arial Narrow" w:hAnsi="Arial Narrow" w:cs="Arial"/>
                <w:sz w:val="20"/>
              </w:rPr>
              <w:t>200</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204" w:rsidRPr="00A948A7" w:rsidRDefault="00E86204" w:rsidP="00EF2DE0">
            <w:pPr>
              <w:rPr>
                <w:rFonts w:ascii="Arial Narrow" w:hAnsi="Arial Narrow" w:cs="Arial"/>
                <w:sz w:val="16"/>
                <w:szCs w:val="16"/>
              </w:rPr>
            </w:pPr>
            <w:r w:rsidRPr="00A948A7">
              <w:rPr>
                <w:rFonts w:ascii="Arial Narrow" w:hAnsi="Arial Narrow" w:cs="Arial"/>
                <w:sz w:val="16"/>
                <w:szCs w:val="16"/>
              </w:rPr>
              <w:t>10m²  pr. klasse</w:t>
            </w:r>
          </w:p>
        </w:tc>
      </w:tr>
    </w:tbl>
    <w:p w:rsidR="00E86204" w:rsidRDefault="00E86204" w:rsidP="00E86204"/>
    <w:p w:rsidR="00D84DBE" w:rsidRPr="0095344A" w:rsidRDefault="00720FD8" w:rsidP="00B30221">
      <w:pPr>
        <w:rPr>
          <w:b/>
          <w:sz w:val="28"/>
          <w:szCs w:val="28"/>
          <w:u w:val="single"/>
        </w:rPr>
      </w:pPr>
      <w:r w:rsidRPr="00720FD8">
        <w:rPr>
          <w:b/>
          <w:sz w:val="28"/>
          <w:szCs w:val="28"/>
          <w:u w:val="single"/>
        </w:rPr>
        <w:t>Vurderinger:</w:t>
      </w:r>
    </w:p>
    <w:p w:rsidR="00141B1D" w:rsidRDefault="00141B1D" w:rsidP="00141B1D">
      <w:pPr>
        <w:rPr>
          <w:u w:val="single"/>
        </w:rPr>
      </w:pPr>
      <w:r w:rsidRPr="00C361AB">
        <w:rPr>
          <w:u w:val="single"/>
        </w:rPr>
        <w:t>Behovsvurdering</w:t>
      </w:r>
    </w:p>
    <w:p w:rsidR="00650166" w:rsidRPr="00192DC5" w:rsidRDefault="00650166" w:rsidP="00650166">
      <w:r>
        <w:t>Barnetrinnet:</w:t>
      </w:r>
    </w:p>
    <w:p w:rsidR="00650166" w:rsidRDefault="00650166" w:rsidP="00650166">
      <w:r>
        <w:t>Figgjo skole er pr i dag en skole med plass til 235 elever og 11 klasser. Skoletomten er på ca 8 daa. Noe av bebyggelsen er gammel og dårlig vedlikeholdt. Det er ikke mulig å utvide skolen uten at det går på bekostning av uteområdet til elevene.</w:t>
      </w:r>
    </w:p>
    <w:p w:rsidR="00650166" w:rsidRDefault="00650166" w:rsidP="00650166">
      <w:r>
        <w:t>Skoleåret 2014-2015 har skolen 194 elever og 11 klasser. Prognosen for 2015-2018 er at elevtallet øker til 250 elever og 14 klasser. Dagens skole har ikke kapasitet til denne økningen i elevtallet. Og tomten tillater ikke utbygging ut over B-14 skole.</w:t>
      </w:r>
      <w:r w:rsidR="00BA676E">
        <w:t xml:space="preserve"> Det er forventet at det kommer 54 elever på 1 trinn i 2019.</w:t>
      </w:r>
    </w:p>
    <w:p w:rsidR="00650166" w:rsidRDefault="00650166" w:rsidP="00650166">
      <w:r>
        <w:t xml:space="preserve">Det er i perioden 2019-2027 planlagt ytterliggere boligbygging innenfor skolekretsen. </w:t>
      </w:r>
      <w:r w:rsidR="00567103">
        <w:t>D</w:t>
      </w:r>
      <w:r>
        <w:t>et medfører økning i elevtallet. Her er prognosene noe usikre.</w:t>
      </w:r>
    </w:p>
    <w:p w:rsidR="00650166" w:rsidRDefault="00650166" w:rsidP="00650166">
      <w:r>
        <w:t>Ungdomstrinnet:</w:t>
      </w:r>
    </w:p>
    <w:p w:rsidR="00650166" w:rsidRDefault="00650166" w:rsidP="00650166">
      <w:r>
        <w:t>Elever fra Figgjo bydel går i dag på Høyland ungdomsskole. Ved utbygging av ny ungdomsskole på Bogafjell, vil den</w:t>
      </w:r>
      <w:r w:rsidR="006D6F29">
        <w:t>ne</w:t>
      </w:r>
      <w:r>
        <w:t xml:space="preserve"> skolen bli nærskole til elevene på Figgjo. I høringsrunden til skolebyggprogrammet er det kommet frem at foresatte ikke lengre ønsker at elevene på Figgjo skal gå på Høyland ungdomsskole. Foresatte ønsker at elevene skal gå på den nærmeste ungdomsskolen. Bogafjell ungdomsskole vil med det byggeprogrammet som nå legges til grunn ikke ha kapasitet til elevene fra barneskolene Figgjo, Buggeland og Bogafjell.</w:t>
      </w:r>
    </w:p>
    <w:p w:rsidR="00650166" w:rsidRDefault="00650166" w:rsidP="00650166">
      <w:r>
        <w:t>Ved å bygge ut Figgjo skole med eget ungdomstrinn vil en også avlaste Høyland ungdomsskole. Prognosene for Høyland tilsier at den har sprengt kapasitet fra 2020. Mye av veksten i elevtallet er knyttet til boligbyggingen i Skaarlia og Kleivane. Ved å bygge Figgjo skole avlaster dette Høyland ungdomsskole med mellom 125 og 150 elevplasser. Høyland ungdomsskole vil da ha tilstrekkelig kapasitet.</w:t>
      </w:r>
    </w:p>
    <w:p w:rsidR="00650166" w:rsidRDefault="00650166" w:rsidP="00650166">
      <w:r>
        <w:t>Ut fra en total vurdering av behovet for økt kapasitet og hensyn til nærskoleretten, foreslår råd</w:t>
      </w:r>
      <w:r w:rsidR="00012676">
        <w:t>mannen nå at det bygges en ny K</w:t>
      </w:r>
      <w:r>
        <w:t>20 skole på ny skoletomt i Figgjo sentrum. Figgjo bydel får da ett fullverdig grunnskoletilbud i egen bydel.</w:t>
      </w:r>
    </w:p>
    <w:p w:rsidR="00E86204" w:rsidRPr="00A948A7" w:rsidRDefault="00E86204" w:rsidP="00E86204">
      <w:pPr>
        <w:rPr>
          <w:u w:val="single"/>
        </w:rPr>
      </w:pPr>
      <w:r>
        <w:rPr>
          <w:u w:val="single"/>
        </w:rPr>
        <w:t>Gymsal</w:t>
      </w:r>
      <w:r w:rsidRPr="00A948A7">
        <w:rPr>
          <w:u w:val="single"/>
        </w:rPr>
        <w:t xml:space="preserve"> </w:t>
      </w:r>
    </w:p>
    <w:p w:rsidR="00E86204" w:rsidRDefault="00E86204" w:rsidP="00E86204">
      <w:r>
        <w:t xml:space="preserve">Det bygges ikke egen gymsal på skolen. Det forutsettes at en kan bruke Figgjohallen på dagtid. Det er gåavstand til Figgjo idrettspark, med kunstgrasbane, som også kan brukes. </w:t>
      </w:r>
      <w:r w:rsidR="00BA676E">
        <w:t>Mediateket på skolen er noe utvidet pga</w:t>
      </w:r>
      <w:r w:rsidR="00012676">
        <w:t>.</w:t>
      </w:r>
      <w:r w:rsidR="00BA676E">
        <w:t xml:space="preserve"> at det ikke er gymsal på skolen.</w:t>
      </w:r>
    </w:p>
    <w:p w:rsidR="00E86204" w:rsidRPr="00A948A7" w:rsidRDefault="00E86204" w:rsidP="00E86204">
      <w:pPr>
        <w:rPr>
          <w:u w:val="single"/>
        </w:rPr>
      </w:pPr>
      <w:r>
        <w:rPr>
          <w:u w:val="single"/>
        </w:rPr>
        <w:t>Sambruk med Kirke/Bydelshus/Kultur</w:t>
      </w:r>
    </w:p>
    <w:p w:rsidR="00E86204" w:rsidRDefault="00E86204" w:rsidP="00E86204">
      <w:r>
        <w:t xml:space="preserve">Kulturarenaplan 2014-2020 legger vekt på samdrift og fleksibilitet i nye bygg. </w:t>
      </w:r>
      <w:r w:rsidR="006D6F29">
        <w:t>Det v</w:t>
      </w:r>
      <w:r>
        <w:t>ise</w:t>
      </w:r>
      <w:r w:rsidR="006D6F29">
        <w:t>s</w:t>
      </w:r>
      <w:r>
        <w:t xml:space="preserve"> til punkt nr. 2 i uprioritert liste over foreslåtte tiltak. </w:t>
      </w:r>
    </w:p>
    <w:p w:rsidR="00E86204" w:rsidRDefault="00E86204" w:rsidP="00E86204">
      <w:pPr>
        <w:pStyle w:val="Listeavsnitt"/>
        <w:numPr>
          <w:ilvl w:val="0"/>
          <w:numId w:val="6"/>
        </w:numPr>
        <w:overflowPunct w:val="0"/>
        <w:autoSpaceDE w:val="0"/>
        <w:autoSpaceDN w:val="0"/>
        <w:adjustRightInd w:val="0"/>
        <w:spacing w:after="0" w:line="240" w:lineRule="auto"/>
        <w:textAlignment w:val="baseline"/>
      </w:pPr>
      <w:r>
        <w:t>Ved utarbeidelse av skolebehovsplaner skal behovet for og løsninger for lokal kulturaktivitet beskrives ved foreslåtte nybygg og eller større renoveringer.</w:t>
      </w:r>
    </w:p>
    <w:p w:rsidR="00650166" w:rsidRDefault="00650166" w:rsidP="00E86204"/>
    <w:p w:rsidR="00E86204" w:rsidRDefault="00E86204" w:rsidP="00E86204">
      <w:r>
        <w:t xml:space="preserve">Det er lagt opp til ett mediatek på skolen på </w:t>
      </w:r>
      <w:r w:rsidR="00BA676E">
        <w:t>518</w:t>
      </w:r>
      <w:r>
        <w:t xml:space="preserve"> kvm. Utformingen av det er ikke bestemt enda, men en form for samlingsplass av </w:t>
      </w:r>
      <w:r w:rsidR="00D3279F">
        <w:t xml:space="preserve">alle </w:t>
      </w:r>
      <w:r>
        <w:t xml:space="preserve">elever på skolen hadde vært ønskelig. Det vil være opp til byggeprogramkomiteen, i samarbeid med arkitekt, å utforme mediateket. </w:t>
      </w:r>
    </w:p>
    <w:p w:rsidR="00E86204" w:rsidRDefault="00E86204" w:rsidP="00E86204">
      <w:r>
        <w:t xml:space="preserve">Det er ikke i denne saken lagt opp til annet bruk av skolen enn det som ligger til grunn i romprogrammet. </w:t>
      </w:r>
    </w:p>
    <w:p w:rsidR="00E86204" w:rsidRPr="00A948A7" w:rsidRDefault="00E86204" w:rsidP="00E86204">
      <w:pPr>
        <w:rPr>
          <w:u w:val="single"/>
        </w:rPr>
      </w:pPr>
      <w:r w:rsidRPr="00A948A7">
        <w:rPr>
          <w:u w:val="single"/>
        </w:rPr>
        <w:t xml:space="preserve">Utendørsanlegg </w:t>
      </w:r>
      <w:r>
        <w:rPr>
          <w:u w:val="single"/>
        </w:rPr>
        <w:t xml:space="preserve"> </w:t>
      </w:r>
    </w:p>
    <w:p w:rsidR="00E86204" w:rsidRDefault="00E86204" w:rsidP="00E86204">
      <w:r w:rsidRPr="00A948A7">
        <w:t xml:space="preserve">Utendørsanlegget for </w:t>
      </w:r>
      <w:r>
        <w:t>skolen må også opparbeides i samme entreprise. Byggehåndboken til Sandnes Eiendom</w:t>
      </w:r>
      <w:r w:rsidR="00D47F5A">
        <w:t xml:space="preserve">sselskap </w:t>
      </w:r>
      <w:r>
        <w:t xml:space="preserve"> KF legges til grunn for opparbeidelsen. Det vil bli utarbeidet skisser fra landskapsarkitekt som legges ved entreprisegrunnlaget. Arealene krever ulik aktivitet for ulike aldersgrupper. </w:t>
      </w:r>
    </w:p>
    <w:p w:rsidR="004A03F6" w:rsidRPr="00A948A7" w:rsidRDefault="004A03F6" w:rsidP="004A03F6">
      <w:pPr>
        <w:rPr>
          <w:u w:val="single"/>
        </w:rPr>
      </w:pPr>
      <w:r>
        <w:t xml:space="preserve">Elever skal være på denne skolen fra 1. klasse og opp til 10. klasse. Det er viktig at det tas hensyn til i planleggingen av skolen. Innvendig og utvendig oppdeling av skolen er viktig, slik at det ikke oppleves «truende» å komme ny her i første klasse. </w:t>
      </w:r>
    </w:p>
    <w:p w:rsidR="007A60C2" w:rsidRDefault="007A60C2" w:rsidP="00E86204">
      <w:r>
        <w:t>Det er i reguleringsprosessen lagt til grunn at Figgenparken skal være tilgjengelig for skoleelever. Kommunikasjonen mellom Figgjo hallen og ny skole skal også sikres ved å bygge bro fra Figgenparken og over til parkeringsplassen ved Figgjohallen.</w:t>
      </w:r>
      <w:r w:rsidR="00376551">
        <w:t xml:space="preserve"> </w:t>
      </w:r>
    </w:p>
    <w:p w:rsidR="00E86204" w:rsidRDefault="00E86204" w:rsidP="00E86204">
      <w:r w:rsidRPr="00A948A7">
        <w:rPr>
          <w:u w:val="single"/>
        </w:rPr>
        <w:t>Tomtesituasjonen</w:t>
      </w:r>
    </w:p>
    <w:p w:rsidR="00E86204" w:rsidRDefault="00E86204" w:rsidP="00E86204">
      <w:r>
        <w:t xml:space="preserve">Dagens skoletomt er på ca 8 daa og den gir ikke rom for utvidelse av skolen uten at det går på bekostning av uteområdet til elevene. En har derfor sett på alternativ tomt for ny skole. </w:t>
      </w:r>
      <w:r w:rsidR="00376551">
        <w:t>Fors</w:t>
      </w:r>
      <w:r>
        <w:t xml:space="preserve">lag til plassering av ny skole er på tomt mellom jernbanen og Figgjoelven. Tomten er regulert til sentrumsformål i kommuneplanen. Størrelsen på tomten er ca 15 daa. </w:t>
      </w:r>
      <w:r w:rsidR="007A60C2">
        <w:t xml:space="preserve">Reguleringsplan med plan identitet 2014 148 er førstegangsbehandlet i UBU 01.07.2016. </w:t>
      </w:r>
    </w:p>
    <w:p w:rsidR="007A60C2" w:rsidRDefault="00E86204" w:rsidP="00E86204">
      <w:r>
        <w:t xml:space="preserve">Det er behov for </w:t>
      </w:r>
      <w:r w:rsidR="00376551">
        <w:t xml:space="preserve">en avtale med grunneier av Figgenparken og Sandnes kommune, som sikrer skolen tilgang til området. </w:t>
      </w:r>
      <w:r w:rsidR="007A60C2">
        <w:t xml:space="preserve"> </w:t>
      </w:r>
    </w:p>
    <w:p w:rsidR="00E86204" w:rsidRPr="00A948A7" w:rsidRDefault="00E86204" w:rsidP="00E86204">
      <w:pPr>
        <w:rPr>
          <w:u w:val="single"/>
        </w:rPr>
      </w:pPr>
      <w:r w:rsidRPr="00A948A7">
        <w:rPr>
          <w:u w:val="single"/>
        </w:rPr>
        <w:t>Byggekonsept</w:t>
      </w:r>
    </w:p>
    <w:p w:rsidR="00E86204" w:rsidRPr="00A948A7" w:rsidRDefault="006D6F29" w:rsidP="00E86204">
      <w:r>
        <w:t>Total</w:t>
      </w:r>
      <w:r w:rsidR="00E86204">
        <w:t xml:space="preserve">entreprenøren velger selv byggekonsept. Det er mulig å bygges som modul bygg, element bygg eller stedbygd. </w:t>
      </w:r>
      <w:r w:rsidR="002708E9">
        <w:t xml:space="preserve">PA for </w:t>
      </w:r>
      <w:r w:rsidR="00E86204">
        <w:t>Sandnes Eiendomsselskap KF blir lagt til grunn for entreprenørene sine valg av løsninger.</w:t>
      </w:r>
    </w:p>
    <w:p w:rsidR="00E86204" w:rsidRPr="00A948A7" w:rsidRDefault="00E86204" w:rsidP="00E86204">
      <w:pPr>
        <w:rPr>
          <w:u w:val="single"/>
        </w:rPr>
      </w:pPr>
      <w:r w:rsidRPr="00A948A7">
        <w:rPr>
          <w:u w:val="single"/>
        </w:rPr>
        <w:t>Investeringskalkyle</w:t>
      </w:r>
    </w:p>
    <w:p w:rsidR="00012676" w:rsidRDefault="00E86204" w:rsidP="00E86204">
      <w:r>
        <w:t>I økonomiplan av 2015-2018 ligger det inne 288 mill</w:t>
      </w:r>
      <w:r w:rsidR="00012676">
        <w:t>.</w:t>
      </w:r>
      <w:r>
        <w:t xml:space="preserve"> kroner til dette prosjektet. </w:t>
      </w:r>
      <w:r w:rsidR="00D3279F">
        <w:t xml:space="preserve">4B kalkylen </w:t>
      </w:r>
      <w:r w:rsidR="00012676">
        <w:t xml:space="preserve">som er lagt fram fra SEKF </w:t>
      </w:r>
      <w:r w:rsidR="00D3279F">
        <w:t xml:space="preserve">var </w:t>
      </w:r>
      <w:r w:rsidR="00012676">
        <w:t xml:space="preserve">beregnet til </w:t>
      </w:r>
      <w:r w:rsidR="00D3279F">
        <w:t>320 mill</w:t>
      </w:r>
      <w:r w:rsidR="00012676">
        <w:t>.</w:t>
      </w:r>
      <w:r w:rsidR="00D3279F">
        <w:t xml:space="preserve"> kroner. Dette tallet ble redusert med 10% av Bystyret i forbindelse med behandlingen av økonomiplanen. </w:t>
      </w:r>
      <w:r w:rsidR="00012676">
        <w:t>Fagstab skole har foreslått å redusere e</w:t>
      </w:r>
      <w:r w:rsidR="00D3279F">
        <w:t xml:space="preserve">levtall </w:t>
      </w:r>
      <w:r w:rsidR="00012676">
        <w:t xml:space="preserve">og dermed areal for skolen både fordi en er usikker på elevtallprognosene, men også for å redusere kostnader. Den foreslåtte arealreduksjonen vil kun omfatte 9 klasserom som reduseres med 10 kvm. </w:t>
      </w:r>
      <w:r w:rsidR="00E97961">
        <w:t>Hvis en legger til grunn 20 000 kr per kvm vil dette gi en besparelse på 1,8 mill. kr. I årlige driftsbesparelser (leie, energi og renhold) gir dette et estimat på 660 kr per kvm som vil gi rundt 60 000 kr i besparelse per år. SEKF vurderer en slik reduksjon av skolens areal å gi skolen mindre fleksibilitet samtidig som det vil være kostbart å øke arealet for klasserommene hvis det vil bli behov for dette på sikt. Besparelsene som er synliggjort er marginale.</w:t>
      </w:r>
    </w:p>
    <w:p w:rsidR="007A60C2" w:rsidRDefault="00D3279F" w:rsidP="00E86204">
      <w:r>
        <w:t>Alle kostnader i forbindelse med tomtearbeid og tomteervervelse er ikke avklart enda</w:t>
      </w:r>
      <w:r w:rsidR="00E97961">
        <w:t xml:space="preserve"> og baserer seg på foreløpige estimater</w:t>
      </w:r>
      <w:r>
        <w:t>. T</w:t>
      </w:r>
      <w:r w:rsidR="007A60C2">
        <w:t>allet blir ikke justert i K0</w:t>
      </w:r>
      <w:r>
        <w:t>, endelig</w:t>
      </w:r>
      <w:r w:rsidR="007A60C2">
        <w:t xml:space="preserve"> kalkyle blir lagt frem i K2 saken.</w:t>
      </w:r>
    </w:p>
    <w:p w:rsidR="00E86204" w:rsidRDefault="00E86204" w:rsidP="00E86204">
      <w:pPr>
        <w:rPr>
          <w:u w:val="single"/>
        </w:rPr>
      </w:pPr>
      <w:r w:rsidRPr="00A948A7">
        <w:rPr>
          <w:u w:val="single"/>
        </w:rPr>
        <w:t>Universell utforming</w:t>
      </w:r>
    </w:p>
    <w:p w:rsidR="00E86204" w:rsidRPr="00A948A7" w:rsidRDefault="00E86204" w:rsidP="00E86204">
      <w:r w:rsidRPr="00A948A7">
        <w:t xml:space="preserve">Det vil være </w:t>
      </w:r>
      <w:r>
        <w:t xml:space="preserve">krav til </w:t>
      </w:r>
      <w:r w:rsidRPr="00A948A7">
        <w:t xml:space="preserve">universell utforming </w:t>
      </w:r>
      <w:r>
        <w:t>av skolen</w:t>
      </w:r>
      <w:r w:rsidR="00B27D67">
        <w:t xml:space="preserve"> og deler av uteområdet. </w:t>
      </w:r>
    </w:p>
    <w:p w:rsidR="002F6A82" w:rsidRPr="005C6971" w:rsidRDefault="00E86204" w:rsidP="002F6A82">
      <w:pPr>
        <w:rPr>
          <w:u w:val="single"/>
        </w:rPr>
      </w:pPr>
      <w:r>
        <w:t xml:space="preserve"> </w:t>
      </w:r>
      <w:r w:rsidR="002F6A82" w:rsidRPr="005C6971">
        <w:rPr>
          <w:u w:val="single"/>
        </w:rPr>
        <w:t>Støy</w:t>
      </w:r>
    </w:p>
    <w:p w:rsidR="002F6A82" w:rsidRDefault="002F6A82" w:rsidP="002F6A82">
      <w:r w:rsidRPr="009B14FD">
        <w:t>Prosjektet må ta høyde for Miljøverndepartementas retningslinjer for behandling av støy i arealplanleggingen (rundskriv T-1442) samt kommunale retningslinjer. Dette innebærer at støynivå utendørs på dagtid ikke skal overstige 55db mens innvendig støy ikke skal overstige 30db.</w:t>
      </w:r>
    </w:p>
    <w:p w:rsidR="002F6A82" w:rsidRPr="009B14FD" w:rsidRDefault="002F6A82" w:rsidP="002F6A82">
      <w:r>
        <w:t xml:space="preserve">Det skal også tas hensyn til innvendig støy mellom </w:t>
      </w:r>
      <w:r w:rsidR="00AB2D23">
        <w:t>klasserom og intern støy på skolen</w:t>
      </w:r>
      <w:r>
        <w:t>.</w:t>
      </w:r>
    </w:p>
    <w:p w:rsidR="00E86204" w:rsidRPr="00321C68" w:rsidRDefault="00E86204" w:rsidP="00E86204">
      <w:pPr>
        <w:rPr>
          <w:u w:val="single"/>
        </w:rPr>
      </w:pPr>
      <w:r w:rsidRPr="00321C68">
        <w:rPr>
          <w:u w:val="single"/>
        </w:rPr>
        <w:t>Energiklasse</w:t>
      </w:r>
    </w:p>
    <w:p w:rsidR="00E86204" w:rsidRDefault="00E86204" w:rsidP="00E86204">
      <w:r>
        <w:t>Skolen vil bli bygget i henhold til gjeldende tekniske forskrifter.</w:t>
      </w:r>
      <w:r w:rsidR="00F75207">
        <w:t xml:space="preserve"> Det vil bli lagt inn opsjonspriser på lavenergi i konkurransegrunnlaget. Det vil bli evaluert ut fra lave d</w:t>
      </w:r>
      <w:r>
        <w:t>rifts og vedlikeholdsutgifter.</w:t>
      </w:r>
      <w:r w:rsidR="00F75207">
        <w:t xml:space="preserve"> Innstilling på valg av energiløsning blir lagt frem i </w:t>
      </w:r>
      <w:r w:rsidR="00E97961">
        <w:t>K</w:t>
      </w:r>
      <w:r w:rsidR="00F75207">
        <w:t>2.</w:t>
      </w:r>
    </w:p>
    <w:p w:rsidR="00E86204" w:rsidRDefault="00E86204" w:rsidP="00E86204">
      <w:pPr>
        <w:rPr>
          <w:u w:val="single"/>
        </w:rPr>
      </w:pPr>
      <w:r w:rsidRPr="00A948A7">
        <w:rPr>
          <w:u w:val="single"/>
        </w:rPr>
        <w:t>Fremdrift</w:t>
      </w:r>
    </w:p>
    <w:p w:rsidR="00C76940" w:rsidRDefault="00E86204" w:rsidP="00E86204">
      <w:r w:rsidRPr="00A948A7">
        <w:t>Rådmannen har i økonomiplan for perioden 201</w:t>
      </w:r>
      <w:r>
        <w:t>5</w:t>
      </w:r>
      <w:r w:rsidRPr="00A948A7">
        <w:t xml:space="preserve"> – 201</w:t>
      </w:r>
      <w:r>
        <w:t>8</w:t>
      </w:r>
      <w:r w:rsidRPr="00A948A7">
        <w:t>, lagt til grunn ferdigstillelse av prosjektet i august 201</w:t>
      </w:r>
      <w:r>
        <w:t>8</w:t>
      </w:r>
      <w:r w:rsidRPr="00A948A7">
        <w:t>.</w:t>
      </w:r>
      <w:r w:rsidR="00D3279F">
        <w:t xml:space="preserve"> Saken om areal</w:t>
      </w:r>
      <w:r w:rsidR="00E97961">
        <w:t>-</w:t>
      </w:r>
      <w:r w:rsidR="00D3279F">
        <w:t xml:space="preserve"> og funksjonsprogram for skolen </w:t>
      </w:r>
      <w:r w:rsidR="007A373C">
        <w:t xml:space="preserve">måtte først behandles før en kunne </w:t>
      </w:r>
      <w:r w:rsidR="00C76940">
        <w:t xml:space="preserve">fremme K0 på dette prosjektet. Det gjør at en ikke klarer å holde </w:t>
      </w:r>
      <w:r w:rsidR="00E97961">
        <w:t xml:space="preserve">opprinnelig framdriftsplan med ferdigstilling av prosjektet </w:t>
      </w:r>
      <w:r w:rsidR="00C76940">
        <w:t xml:space="preserve">til august 2018. Realistisk fremdrift </w:t>
      </w:r>
      <w:r w:rsidR="00E97961">
        <w:t>for prosjektet er ferdigstilling i</w:t>
      </w:r>
      <w:r w:rsidR="00C76940">
        <w:t xml:space="preserve"> desember 2018.</w:t>
      </w:r>
      <w:r>
        <w:t xml:space="preserve"> </w:t>
      </w:r>
      <w:r w:rsidR="002B76C9">
        <w:t xml:space="preserve">For å klare fremdriften </w:t>
      </w:r>
      <w:r>
        <w:t>må kjøre parallelle prosesser med regulering</w:t>
      </w:r>
      <w:r w:rsidR="002B76C9">
        <w:t xml:space="preserve">, </w:t>
      </w:r>
      <w:r>
        <w:t xml:space="preserve">planlegging </w:t>
      </w:r>
      <w:r w:rsidR="002B76C9">
        <w:t xml:space="preserve">og anbud på </w:t>
      </w:r>
      <w:r>
        <w:t xml:space="preserve">skolen. </w:t>
      </w:r>
    </w:p>
    <w:p w:rsidR="00C76940" w:rsidRDefault="00C76940" w:rsidP="00E86204">
      <w:r>
        <w:t xml:space="preserve">Skolen må ta organisatoriske grep for å klare driften i en overgangsperiode mellom ny og gammel skole. Noen elever må i en periode </w:t>
      </w:r>
      <w:r w:rsidR="00E97961">
        <w:t xml:space="preserve">muligens </w:t>
      </w:r>
      <w:r>
        <w:t>flytte</w:t>
      </w:r>
      <w:r w:rsidR="007A373C">
        <w:t>s over til en annen skole med ledig kapasitet.</w:t>
      </w:r>
      <w:r w:rsidR="00E97961">
        <w:t xml:space="preserve"> Kostnader til transport av elever eller evt. midlertidige lokaler ligger ikke inne i prosjektet og vil måtte </w:t>
      </w:r>
      <w:r w:rsidR="00762E1F">
        <w:t>dekkes av</w:t>
      </w:r>
      <w:r w:rsidR="00E97961">
        <w:t xml:space="preserve"> driftsmidler for skole.</w:t>
      </w:r>
    </w:p>
    <w:p w:rsidR="007A373C" w:rsidRDefault="00E86204" w:rsidP="00E86204">
      <w:r>
        <w:t xml:space="preserve">Det anbefales å utvikle prosjektet som modifisert totalentreprise. Erfaringsmessig får en ved å bruke arkitekt i samarbeid med brukerne ett mye bedre og mer brukervennlig prosjekt. </w:t>
      </w:r>
      <w:r w:rsidR="002B76C9">
        <w:t xml:space="preserve">En har da også større mulighet til å korte ned tiden fra vi starter planlegging frem til skolen står ferdig. </w:t>
      </w:r>
    </w:p>
    <w:p w:rsidR="00E86204" w:rsidRDefault="00E86204" w:rsidP="00E86204">
      <w:r>
        <w:t xml:space="preserve">Erfaringsmessig så får vi flere tilbydere og bedre priser når det foreligger tegninger. </w:t>
      </w:r>
    </w:p>
    <w:p w:rsidR="00E86204" w:rsidRPr="00A948A7" w:rsidRDefault="00E86204" w:rsidP="00E86204">
      <w:r>
        <w:t xml:space="preserve">Det </w:t>
      </w:r>
      <w:r w:rsidRPr="00A948A7">
        <w:t>anbefale kontrahering i</w:t>
      </w:r>
      <w:r>
        <w:t xml:space="preserve"> modifisert </w:t>
      </w:r>
      <w:r w:rsidRPr="00A948A7">
        <w:t>totalentreprise.</w:t>
      </w:r>
    </w:p>
    <w:p w:rsidR="00E86204" w:rsidRDefault="00E86204" w:rsidP="00E86204">
      <w:r w:rsidRPr="005F68E6">
        <w:t xml:space="preserve">Det er tradisjon for at </w:t>
      </w:r>
      <w:r>
        <w:t>skoler gis</w:t>
      </w:r>
      <w:r w:rsidRPr="005F68E6">
        <w:t xml:space="preserve"> navn etter </w:t>
      </w:r>
      <w:r>
        <w:t xml:space="preserve">bydelen eller utbyggingsområdet som </w:t>
      </w:r>
      <w:r w:rsidRPr="005F68E6">
        <w:t xml:space="preserve">de ligger i. </w:t>
      </w:r>
      <w:r>
        <w:t xml:space="preserve">Denne skolen ligger Figgjo bydel og det foreslås at navnet Figgjo skole videreføres. </w:t>
      </w:r>
    </w:p>
    <w:p w:rsidR="00E5780F" w:rsidRPr="00762E1F" w:rsidRDefault="000835D0" w:rsidP="00762E1F">
      <w:pPr>
        <w:ind w:firstLine="567"/>
        <w:rPr>
          <w:b/>
          <w:sz w:val="24"/>
          <w:szCs w:val="24"/>
        </w:rPr>
      </w:pPr>
      <w:r w:rsidRPr="00156569">
        <w:rPr>
          <w:b/>
          <w:sz w:val="28"/>
          <w:szCs w:val="28"/>
          <w:u w:val="single"/>
        </w:rPr>
        <w:t>Forslag til vedtak</w:t>
      </w:r>
      <w:r w:rsidRPr="00156569">
        <w:rPr>
          <w:b/>
          <w:sz w:val="28"/>
          <w:szCs w:val="28"/>
        </w:rPr>
        <w:t>:</w:t>
      </w:r>
    </w:p>
    <w:p w:rsidR="002F6A82" w:rsidRPr="00762E1F" w:rsidRDefault="002F6A82" w:rsidP="002F6A82">
      <w:pPr>
        <w:numPr>
          <w:ilvl w:val="0"/>
          <w:numId w:val="7"/>
        </w:numPr>
        <w:overflowPunct w:val="0"/>
        <w:autoSpaceDE w:val="0"/>
        <w:autoSpaceDN w:val="0"/>
        <w:adjustRightInd w:val="0"/>
        <w:spacing w:after="0" w:line="240" w:lineRule="auto"/>
        <w:ind w:left="567" w:hanging="567"/>
        <w:textAlignment w:val="baseline"/>
        <w:rPr>
          <w:bCs/>
        </w:rPr>
      </w:pPr>
      <w:r w:rsidRPr="00762E1F">
        <w:rPr>
          <w:bCs/>
        </w:rPr>
        <w:t xml:space="preserve">Byggeprogram iht. beskrivelse godkjennes.  </w:t>
      </w:r>
    </w:p>
    <w:p w:rsidR="002F6A82" w:rsidRPr="00762E1F" w:rsidRDefault="002F6A82" w:rsidP="002F6A82">
      <w:pPr>
        <w:ind w:left="567"/>
        <w:rPr>
          <w:bCs/>
        </w:rPr>
      </w:pPr>
    </w:p>
    <w:p w:rsidR="002F6A82" w:rsidRPr="00762E1F" w:rsidRDefault="002F6A82" w:rsidP="002F6A82">
      <w:pPr>
        <w:numPr>
          <w:ilvl w:val="0"/>
          <w:numId w:val="7"/>
        </w:numPr>
        <w:overflowPunct w:val="0"/>
        <w:autoSpaceDE w:val="0"/>
        <w:autoSpaceDN w:val="0"/>
        <w:adjustRightInd w:val="0"/>
        <w:spacing w:after="0" w:line="240" w:lineRule="auto"/>
        <w:ind w:left="567" w:hanging="567"/>
        <w:textAlignment w:val="baseline"/>
        <w:rPr>
          <w:bCs/>
        </w:rPr>
      </w:pPr>
      <w:r w:rsidRPr="00762E1F">
        <w:rPr>
          <w:bCs/>
        </w:rPr>
        <w:t>Prosjektet gjennomføres som modifisert totalentreprise.</w:t>
      </w:r>
    </w:p>
    <w:p w:rsidR="002F6A82" w:rsidRPr="00762E1F" w:rsidRDefault="002F6A82" w:rsidP="002F6A82">
      <w:pPr>
        <w:pStyle w:val="Listeavsnitt"/>
        <w:rPr>
          <w:bCs/>
        </w:rPr>
      </w:pPr>
    </w:p>
    <w:p w:rsidR="002F6A82" w:rsidRDefault="002F6A82" w:rsidP="002F6A82">
      <w:pPr>
        <w:numPr>
          <w:ilvl w:val="0"/>
          <w:numId w:val="7"/>
        </w:numPr>
        <w:overflowPunct w:val="0"/>
        <w:autoSpaceDE w:val="0"/>
        <w:autoSpaceDN w:val="0"/>
        <w:adjustRightInd w:val="0"/>
        <w:spacing w:after="0" w:line="240" w:lineRule="auto"/>
        <w:ind w:left="567" w:hanging="567"/>
        <w:textAlignment w:val="baseline"/>
        <w:rPr>
          <w:bCs/>
        </w:rPr>
      </w:pPr>
      <w:r w:rsidRPr="00762E1F">
        <w:rPr>
          <w:bCs/>
        </w:rPr>
        <w:t xml:space="preserve">Prosjektet utvikles og ferdigstilles til </w:t>
      </w:r>
      <w:r w:rsidR="00C76940" w:rsidRPr="00762E1F">
        <w:rPr>
          <w:bCs/>
        </w:rPr>
        <w:t xml:space="preserve">desember </w:t>
      </w:r>
      <w:r w:rsidRPr="00762E1F">
        <w:rPr>
          <w:bCs/>
        </w:rPr>
        <w:t>2018.</w:t>
      </w:r>
    </w:p>
    <w:p w:rsidR="00FF353A" w:rsidRDefault="00FF353A" w:rsidP="00FF353A">
      <w:pPr>
        <w:pStyle w:val="Listeavsnitt"/>
        <w:rPr>
          <w:bCs/>
        </w:rPr>
      </w:pPr>
    </w:p>
    <w:p w:rsidR="00FF353A" w:rsidRPr="00762E1F" w:rsidRDefault="00FF353A" w:rsidP="002F6A82">
      <w:pPr>
        <w:numPr>
          <w:ilvl w:val="0"/>
          <w:numId w:val="7"/>
        </w:numPr>
        <w:overflowPunct w:val="0"/>
        <w:autoSpaceDE w:val="0"/>
        <w:autoSpaceDN w:val="0"/>
        <w:adjustRightInd w:val="0"/>
        <w:spacing w:after="0" w:line="240" w:lineRule="auto"/>
        <w:ind w:left="567" w:hanging="567"/>
        <w:textAlignment w:val="baseline"/>
        <w:rPr>
          <w:bCs/>
        </w:rPr>
      </w:pPr>
      <w:r>
        <w:rPr>
          <w:bCs/>
        </w:rPr>
        <w:t xml:space="preserve">Styret holdes fortløpende oppdatert på prosjektgjennomføringen. </w:t>
      </w:r>
    </w:p>
    <w:p w:rsidR="00C70492" w:rsidRPr="00762E1F" w:rsidRDefault="00C70492" w:rsidP="00C70492">
      <w:pPr>
        <w:pStyle w:val="Listeavsnitt"/>
        <w:rPr>
          <w:bCs/>
        </w:rPr>
      </w:pPr>
      <w:bookmarkStart w:id="0" w:name="_GoBack"/>
      <w:bookmarkEnd w:id="0"/>
    </w:p>
    <w:p w:rsidR="00C70492" w:rsidRPr="00762E1F" w:rsidRDefault="00C70492" w:rsidP="002F6A82">
      <w:pPr>
        <w:numPr>
          <w:ilvl w:val="0"/>
          <w:numId w:val="7"/>
        </w:numPr>
        <w:overflowPunct w:val="0"/>
        <w:autoSpaceDE w:val="0"/>
        <w:autoSpaceDN w:val="0"/>
        <w:adjustRightInd w:val="0"/>
        <w:spacing w:after="0" w:line="240" w:lineRule="auto"/>
        <w:ind w:left="567" w:hanging="567"/>
        <w:textAlignment w:val="baseline"/>
        <w:rPr>
          <w:bCs/>
        </w:rPr>
      </w:pPr>
      <w:r w:rsidRPr="00762E1F">
        <w:rPr>
          <w:bCs/>
        </w:rPr>
        <w:t xml:space="preserve">Saken </w:t>
      </w:r>
      <w:r w:rsidR="00762E1F" w:rsidRPr="00762E1F">
        <w:rPr>
          <w:bCs/>
        </w:rPr>
        <w:t>over</w:t>
      </w:r>
      <w:r w:rsidRPr="00762E1F">
        <w:rPr>
          <w:bCs/>
        </w:rPr>
        <w:t>sendes til Rådmannen for</w:t>
      </w:r>
      <w:r w:rsidR="0040305E" w:rsidRPr="00762E1F">
        <w:rPr>
          <w:bCs/>
        </w:rPr>
        <w:t xml:space="preserve"> videre oppfølging.</w:t>
      </w:r>
    </w:p>
    <w:p w:rsidR="00762E1F" w:rsidRDefault="00762E1F" w:rsidP="00762E1F">
      <w:pPr>
        <w:rPr>
          <w:bCs/>
        </w:rPr>
      </w:pPr>
    </w:p>
    <w:p w:rsidR="00762E1F" w:rsidRPr="00762E1F" w:rsidRDefault="00762E1F" w:rsidP="00762E1F">
      <w:pPr>
        <w:rPr>
          <w:bCs/>
        </w:rPr>
      </w:pPr>
    </w:p>
    <w:p w:rsidR="00762E1F" w:rsidRDefault="00762E1F" w:rsidP="00762E1F">
      <w:pPr>
        <w:rPr>
          <w:bCs/>
          <w:color w:val="0000FF"/>
        </w:rPr>
      </w:pPr>
    </w:p>
    <w:p w:rsidR="00762E1F" w:rsidRPr="00422CE9" w:rsidRDefault="00762E1F" w:rsidP="00762E1F">
      <w:pPr>
        <w:rPr>
          <w:rFonts w:ascii="Times New Roman" w:hAnsi="Times New Roman" w:cs="Times New Roman"/>
          <w:sz w:val="24"/>
          <w:szCs w:val="24"/>
        </w:rPr>
      </w:pPr>
      <w:r w:rsidRPr="00422CE9">
        <w:rPr>
          <w:rFonts w:ascii="Times New Roman" w:hAnsi="Times New Roman" w:cs="Times New Roman"/>
          <w:sz w:val="24"/>
          <w:szCs w:val="24"/>
        </w:rPr>
        <w:t xml:space="preserve">Sandnes Eiendomsselskap KF, </w:t>
      </w:r>
      <w:r>
        <w:rPr>
          <w:rFonts w:ascii="Times New Roman" w:hAnsi="Times New Roman" w:cs="Times New Roman"/>
          <w:sz w:val="24"/>
          <w:szCs w:val="24"/>
        </w:rPr>
        <w:t>17.10.2016</w:t>
      </w:r>
    </w:p>
    <w:p w:rsidR="00762E1F" w:rsidRDefault="00762E1F" w:rsidP="00762E1F">
      <w:pPr>
        <w:rPr>
          <w:rFonts w:ascii="Times New Roman" w:hAnsi="Times New Roman" w:cs="Times New Roman"/>
          <w:sz w:val="24"/>
          <w:szCs w:val="24"/>
        </w:rPr>
      </w:pPr>
    </w:p>
    <w:p w:rsidR="00762E1F" w:rsidRPr="00422CE9" w:rsidRDefault="00762E1F" w:rsidP="00762E1F">
      <w:pPr>
        <w:rPr>
          <w:rFonts w:ascii="Times New Roman" w:hAnsi="Times New Roman" w:cs="Times New Roman"/>
          <w:sz w:val="24"/>
          <w:szCs w:val="24"/>
        </w:rPr>
      </w:pPr>
      <w:r w:rsidRPr="00422CE9">
        <w:rPr>
          <w:rFonts w:ascii="Times New Roman" w:hAnsi="Times New Roman" w:cs="Times New Roman"/>
          <w:sz w:val="24"/>
          <w:szCs w:val="24"/>
        </w:rPr>
        <w:t>Torbjørn Sterri</w:t>
      </w:r>
    </w:p>
    <w:p w:rsidR="002F6A82" w:rsidRPr="00A948A7" w:rsidRDefault="00762E1F" w:rsidP="00762E1F">
      <w:r w:rsidRPr="00422CE9">
        <w:rPr>
          <w:rFonts w:ascii="Times New Roman" w:hAnsi="Times New Roman" w:cs="Times New Roman"/>
          <w:sz w:val="24"/>
          <w:szCs w:val="24"/>
        </w:rPr>
        <w:t xml:space="preserve">daglig leder </w:t>
      </w:r>
    </w:p>
    <w:p w:rsidR="002F6A82" w:rsidRPr="00A948A7" w:rsidRDefault="002F6A82" w:rsidP="00762E1F">
      <w:pPr>
        <w:keepNext/>
      </w:pPr>
      <w:r>
        <w:tab/>
      </w:r>
      <w:r>
        <w:tab/>
      </w:r>
      <w:r>
        <w:tab/>
      </w:r>
    </w:p>
    <w:p w:rsidR="002F6A82" w:rsidRPr="00A948A7" w:rsidRDefault="006E2C28" w:rsidP="002F6A82">
      <w:pPr>
        <w:keepNext/>
      </w:pPr>
      <w:r>
        <w:t xml:space="preserve">Vedlegg: Utomhusplan for ny Figgjo skole  </w:t>
      </w:r>
    </w:p>
    <w:p w:rsidR="00097712" w:rsidRDefault="00097712" w:rsidP="002F6A82"/>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21" w:rsidRDefault="00A03621" w:rsidP="00B30221">
      <w:pPr>
        <w:spacing w:after="0" w:line="240" w:lineRule="auto"/>
      </w:pPr>
      <w:r>
        <w:separator/>
      </w:r>
    </w:p>
  </w:endnote>
  <w:endnote w:type="continuationSeparator" w:id="0">
    <w:p w:rsidR="00A03621" w:rsidRDefault="00A03621"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21" w:rsidRDefault="00A03621" w:rsidP="00B30221">
      <w:pPr>
        <w:spacing w:after="0" w:line="240" w:lineRule="auto"/>
      </w:pPr>
      <w:r>
        <w:separator/>
      </w:r>
    </w:p>
  </w:footnote>
  <w:footnote w:type="continuationSeparator" w:id="0">
    <w:p w:rsidR="00A03621" w:rsidRDefault="00A03621"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C70249"/>
    <w:multiLevelType w:val="hybridMultilevel"/>
    <w:tmpl w:val="0B6EC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364CAD"/>
    <w:multiLevelType w:val="hybridMultilevel"/>
    <w:tmpl w:val="C15A3E4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AF73106"/>
    <w:multiLevelType w:val="hybridMultilevel"/>
    <w:tmpl w:val="F124AD9A"/>
    <w:lvl w:ilvl="0" w:tplc="04140001">
      <w:start w:val="1"/>
      <w:numFmt w:val="bullet"/>
      <w:lvlText w:val=""/>
      <w:lvlJc w:val="left"/>
      <w:pPr>
        <w:ind w:left="778" w:hanging="360"/>
      </w:pPr>
      <w:rPr>
        <w:rFonts w:ascii="Symbol" w:hAnsi="Symbol" w:hint="default"/>
      </w:rPr>
    </w:lvl>
    <w:lvl w:ilvl="1" w:tplc="04140003" w:tentative="1">
      <w:start w:val="1"/>
      <w:numFmt w:val="bullet"/>
      <w:lvlText w:val="o"/>
      <w:lvlJc w:val="left"/>
      <w:pPr>
        <w:ind w:left="1498" w:hanging="360"/>
      </w:pPr>
      <w:rPr>
        <w:rFonts w:ascii="Courier New" w:hAnsi="Courier New" w:cs="Courier New" w:hint="default"/>
      </w:rPr>
    </w:lvl>
    <w:lvl w:ilvl="2" w:tplc="04140005" w:tentative="1">
      <w:start w:val="1"/>
      <w:numFmt w:val="bullet"/>
      <w:lvlText w:val=""/>
      <w:lvlJc w:val="left"/>
      <w:pPr>
        <w:ind w:left="2218" w:hanging="360"/>
      </w:pPr>
      <w:rPr>
        <w:rFonts w:ascii="Wingdings" w:hAnsi="Wingdings" w:hint="default"/>
      </w:rPr>
    </w:lvl>
    <w:lvl w:ilvl="3" w:tplc="04140001" w:tentative="1">
      <w:start w:val="1"/>
      <w:numFmt w:val="bullet"/>
      <w:lvlText w:val=""/>
      <w:lvlJc w:val="left"/>
      <w:pPr>
        <w:ind w:left="2938" w:hanging="360"/>
      </w:pPr>
      <w:rPr>
        <w:rFonts w:ascii="Symbol" w:hAnsi="Symbol" w:hint="default"/>
      </w:rPr>
    </w:lvl>
    <w:lvl w:ilvl="4" w:tplc="04140003" w:tentative="1">
      <w:start w:val="1"/>
      <w:numFmt w:val="bullet"/>
      <w:lvlText w:val="o"/>
      <w:lvlJc w:val="left"/>
      <w:pPr>
        <w:ind w:left="3658" w:hanging="360"/>
      </w:pPr>
      <w:rPr>
        <w:rFonts w:ascii="Courier New" w:hAnsi="Courier New" w:cs="Courier New" w:hint="default"/>
      </w:rPr>
    </w:lvl>
    <w:lvl w:ilvl="5" w:tplc="04140005" w:tentative="1">
      <w:start w:val="1"/>
      <w:numFmt w:val="bullet"/>
      <w:lvlText w:val=""/>
      <w:lvlJc w:val="left"/>
      <w:pPr>
        <w:ind w:left="4378" w:hanging="360"/>
      </w:pPr>
      <w:rPr>
        <w:rFonts w:ascii="Wingdings" w:hAnsi="Wingdings" w:hint="default"/>
      </w:rPr>
    </w:lvl>
    <w:lvl w:ilvl="6" w:tplc="04140001" w:tentative="1">
      <w:start w:val="1"/>
      <w:numFmt w:val="bullet"/>
      <w:lvlText w:val=""/>
      <w:lvlJc w:val="left"/>
      <w:pPr>
        <w:ind w:left="5098" w:hanging="360"/>
      </w:pPr>
      <w:rPr>
        <w:rFonts w:ascii="Symbol" w:hAnsi="Symbol" w:hint="default"/>
      </w:rPr>
    </w:lvl>
    <w:lvl w:ilvl="7" w:tplc="04140003" w:tentative="1">
      <w:start w:val="1"/>
      <w:numFmt w:val="bullet"/>
      <w:lvlText w:val="o"/>
      <w:lvlJc w:val="left"/>
      <w:pPr>
        <w:ind w:left="5818" w:hanging="360"/>
      </w:pPr>
      <w:rPr>
        <w:rFonts w:ascii="Courier New" w:hAnsi="Courier New" w:cs="Courier New" w:hint="default"/>
      </w:rPr>
    </w:lvl>
    <w:lvl w:ilvl="8" w:tplc="04140005" w:tentative="1">
      <w:start w:val="1"/>
      <w:numFmt w:val="bullet"/>
      <w:lvlText w:val=""/>
      <w:lvlJc w:val="left"/>
      <w:pPr>
        <w:ind w:left="6538"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12676"/>
    <w:rsid w:val="00021C13"/>
    <w:rsid w:val="000415FB"/>
    <w:rsid w:val="00075EBA"/>
    <w:rsid w:val="000835D0"/>
    <w:rsid w:val="00097712"/>
    <w:rsid w:val="000B30FA"/>
    <w:rsid w:val="000B642B"/>
    <w:rsid w:val="000D6E29"/>
    <w:rsid w:val="000E4C4D"/>
    <w:rsid w:val="001269B0"/>
    <w:rsid w:val="00135883"/>
    <w:rsid w:val="00141B1D"/>
    <w:rsid w:val="00156569"/>
    <w:rsid w:val="001870CE"/>
    <w:rsid w:val="00190A2F"/>
    <w:rsid w:val="00196F0B"/>
    <w:rsid w:val="001976CB"/>
    <w:rsid w:val="001E2546"/>
    <w:rsid w:val="001E2AD4"/>
    <w:rsid w:val="00206A8B"/>
    <w:rsid w:val="00223331"/>
    <w:rsid w:val="00245CD5"/>
    <w:rsid w:val="00263933"/>
    <w:rsid w:val="00265A6A"/>
    <w:rsid w:val="00266251"/>
    <w:rsid w:val="002708E9"/>
    <w:rsid w:val="0027790D"/>
    <w:rsid w:val="002A5615"/>
    <w:rsid w:val="002A65B8"/>
    <w:rsid w:val="002B76C9"/>
    <w:rsid w:val="002F6A82"/>
    <w:rsid w:val="0034412E"/>
    <w:rsid w:val="003463D3"/>
    <w:rsid w:val="00357975"/>
    <w:rsid w:val="00376551"/>
    <w:rsid w:val="003931F1"/>
    <w:rsid w:val="003B2054"/>
    <w:rsid w:val="003E1121"/>
    <w:rsid w:val="0040305E"/>
    <w:rsid w:val="00425C04"/>
    <w:rsid w:val="00431A34"/>
    <w:rsid w:val="00487D79"/>
    <w:rsid w:val="004A03F6"/>
    <w:rsid w:val="004C093A"/>
    <w:rsid w:val="004E0F9A"/>
    <w:rsid w:val="004F314D"/>
    <w:rsid w:val="005139AE"/>
    <w:rsid w:val="00534166"/>
    <w:rsid w:val="00567103"/>
    <w:rsid w:val="005A4DBB"/>
    <w:rsid w:val="005F4323"/>
    <w:rsid w:val="00627625"/>
    <w:rsid w:val="006428ED"/>
    <w:rsid w:val="00650166"/>
    <w:rsid w:val="0067672B"/>
    <w:rsid w:val="0068300B"/>
    <w:rsid w:val="006842E6"/>
    <w:rsid w:val="006908BF"/>
    <w:rsid w:val="006A6C8B"/>
    <w:rsid w:val="006D6F29"/>
    <w:rsid w:val="006D7117"/>
    <w:rsid w:val="006E2C28"/>
    <w:rsid w:val="006F078A"/>
    <w:rsid w:val="006F671A"/>
    <w:rsid w:val="006F68CE"/>
    <w:rsid w:val="00720FD8"/>
    <w:rsid w:val="00727BEA"/>
    <w:rsid w:val="00740CC7"/>
    <w:rsid w:val="00761305"/>
    <w:rsid w:val="00762E1F"/>
    <w:rsid w:val="00781B98"/>
    <w:rsid w:val="00793252"/>
    <w:rsid w:val="007A373C"/>
    <w:rsid w:val="007A60C2"/>
    <w:rsid w:val="007B459C"/>
    <w:rsid w:val="007B58CC"/>
    <w:rsid w:val="007B766B"/>
    <w:rsid w:val="007E2845"/>
    <w:rsid w:val="00847DA3"/>
    <w:rsid w:val="008668CB"/>
    <w:rsid w:val="00883B69"/>
    <w:rsid w:val="008C1A3D"/>
    <w:rsid w:val="009043C9"/>
    <w:rsid w:val="0091686D"/>
    <w:rsid w:val="00924E79"/>
    <w:rsid w:val="009435FB"/>
    <w:rsid w:val="00943A83"/>
    <w:rsid w:val="0095344A"/>
    <w:rsid w:val="009679B0"/>
    <w:rsid w:val="00970C6B"/>
    <w:rsid w:val="009873D1"/>
    <w:rsid w:val="009B4964"/>
    <w:rsid w:val="009C5624"/>
    <w:rsid w:val="00A03621"/>
    <w:rsid w:val="00A27909"/>
    <w:rsid w:val="00AA60A7"/>
    <w:rsid w:val="00AA7F48"/>
    <w:rsid w:val="00AB2D23"/>
    <w:rsid w:val="00AD3D7A"/>
    <w:rsid w:val="00AF3325"/>
    <w:rsid w:val="00B107B7"/>
    <w:rsid w:val="00B27D67"/>
    <w:rsid w:val="00B30221"/>
    <w:rsid w:val="00B30CC1"/>
    <w:rsid w:val="00B52A16"/>
    <w:rsid w:val="00B67FF5"/>
    <w:rsid w:val="00B7732D"/>
    <w:rsid w:val="00BA64D4"/>
    <w:rsid w:val="00BA676E"/>
    <w:rsid w:val="00BB1A4C"/>
    <w:rsid w:val="00BC664E"/>
    <w:rsid w:val="00BF73A2"/>
    <w:rsid w:val="00C251AB"/>
    <w:rsid w:val="00C27D11"/>
    <w:rsid w:val="00C3799D"/>
    <w:rsid w:val="00C470A3"/>
    <w:rsid w:val="00C70492"/>
    <w:rsid w:val="00C76940"/>
    <w:rsid w:val="00C84E76"/>
    <w:rsid w:val="00CA73DD"/>
    <w:rsid w:val="00CC57BC"/>
    <w:rsid w:val="00CC5B49"/>
    <w:rsid w:val="00CF4C50"/>
    <w:rsid w:val="00D273E9"/>
    <w:rsid w:val="00D3279F"/>
    <w:rsid w:val="00D47F5A"/>
    <w:rsid w:val="00D84DBE"/>
    <w:rsid w:val="00DA1F37"/>
    <w:rsid w:val="00DA5991"/>
    <w:rsid w:val="00DB5259"/>
    <w:rsid w:val="00DE58E6"/>
    <w:rsid w:val="00E0386D"/>
    <w:rsid w:val="00E10B72"/>
    <w:rsid w:val="00E32A82"/>
    <w:rsid w:val="00E336D5"/>
    <w:rsid w:val="00E35F1D"/>
    <w:rsid w:val="00E37A9D"/>
    <w:rsid w:val="00E40511"/>
    <w:rsid w:val="00E51D94"/>
    <w:rsid w:val="00E5780F"/>
    <w:rsid w:val="00E62959"/>
    <w:rsid w:val="00E72801"/>
    <w:rsid w:val="00E86204"/>
    <w:rsid w:val="00E90FB9"/>
    <w:rsid w:val="00E97961"/>
    <w:rsid w:val="00F2035E"/>
    <w:rsid w:val="00F228E5"/>
    <w:rsid w:val="00F52164"/>
    <w:rsid w:val="00F65156"/>
    <w:rsid w:val="00F704A2"/>
    <w:rsid w:val="00F75207"/>
    <w:rsid w:val="00FC7606"/>
    <w:rsid w:val="00FE0E9D"/>
    <w:rsid w:val="00FE5191"/>
    <w:rsid w:val="00FF1E92"/>
    <w:rsid w:val="00FF35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704A2"/>
    <w:pPr>
      <w:spacing w:before="200" w:after="0"/>
      <w:outlineLvl w:val="1"/>
    </w:pPr>
    <w:rPr>
      <w:rFonts w:ascii="Arial" w:eastAsiaTheme="majorEastAsia" w:hAnsi="Arial" w:cstheme="majorBidi"/>
      <w:b/>
      <w:bCs/>
      <w:sz w:val="26"/>
      <w:szCs w:val="26"/>
      <w:lang w:eastAsia="en-US"/>
    </w:rPr>
  </w:style>
  <w:style w:type="paragraph" w:styleId="Overskrift5">
    <w:name w:val="heading 5"/>
    <w:basedOn w:val="Normal"/>
    <w:next w:val="Normal"/>
    <w:link w:val="Overskrift5Tegn"/>
    <w:uiPriority w:val="9"/>
    <w:semiHidden/>
    <w:unhideWhenUsed/>
    <w:qFormat/>
    <w:rsid w:val="00D84D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character" w:customStyle="1" w:styleId="Overskrift2Tegn">
    <w:name w:val="Overskrift 2 Tegn"/>
    <w:basedOn w:val="Standardskriftforavsnitt"/>
    <w:link w:val="Overskrift2"/>
    <w:uiPriority w:val="9"/>
    <w:rsid w:val="00F704A2"/>
    <w:rPr>
      <w:rFonts w:ascii="Arial" w:eastAsiaTheme="majorEastAsia" w:hAnsi="Arial" w:cstheme="majorBidi"/>
      <w:b/>
      <w:bCs/>
      <w:sz w:val="26"/>
      <w:szCs w:val="26"/>
      <w:lang w:eastAsia="en-US"/>
    </w:rPr>
  </w:style>
  <w:style w:type="character" w:customStyle="1" w:styleId="Overskrift5Tegn">
    <w:name w:val="Overskrift 5 Tegn"/>
    <w:basedOn w:val="Standardskriftforavsnitt"/>
    <w:link w:val="Overskrift5"/>
    <w:uiPriority w:val="9"/>
    <w:semiHidden/>
    <w:rsid w:val="00D84DBE"/>
    <w:rPr>
      <w:rFonts w:asciiTheme="majorHAnsi" w:eastAsiaTheme="majorEastAsia" w:hAnsiTheme="majorHAnsi" w:cstheme="majorBidi"/>
      <w:color w:val="365F91" w:themeColor="accent1" w:themeShade="BF"/>
    </w:rPr>
  </w:style>
  <w:style w:type="paragraph" w:styleId="Topptekst">
    <w:name w:val="header"/>
    <w:basedOn w:val="Normal"/>
    <w:link w:val="TopptekstTegn"/>
    <w:semiHidden/>
    <w:rsid w:val="002F6A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semiHidden/>
    <w:rsid w:val="002F6A82"/>
    <w:rPr>
      <w:rFonts w:ascii="Times New Roman" w:eastAsia="Times New Roman" w:hAnsi="Times New Roman" w:cs="Times New Roman"/>
      <w:sz w:val="24"/>
      <w:szCs w:val="20"/>
    </w:rPr>
  </w:style>
  <w:style w:type="paragraph" w:customStyle="1" w:styleId="Innrykk">
    <w:name w:val="Innrykk"/>
    <w:basedOn w:val="Normal"/>
    <w:rsid w:val="002F6A82"/>
    <w:pPr>
      <w:overflowPunct w:val="0"/>
      <w:autoSpaceDE w:val="0"/>
      <w:autoSpaceDN w:val="0"/>
      <w:adjustRightInd w:val="0"/>
      <w:spacing w:after="0" w:line="240" w:lineRule="auto"/>
      <w:ind w:left="992"/>
      <w:textAlignment w:val="baseline"/>
    </w:pPr>
    <w:rPr>
      <w:rFonts w:ascii="Times New Roman" w:eastAsia="Times New Roman" w:hAnsi="Times New Roman" w:cs="Times New Roman"/>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490E-C21B-4ACD-846D-057E9B4B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1851</Words>
  <Characters>9815</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5</cp:revision>
  <cp:lastPrinted>2016-10-14T12:30:00Z</cp:lastPrinted>
  <dcterms:created xsi:type="dcterms:W3CDTF">2016-10-18T05:32:00Z</dcterms:created>
  <dcterms:modified xsi:type="dcterms:W3CDTF">2016-10-19T08:30:00Z</dcterms:modified>
</cp:coreProperties>
</file>